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81E2" w14:textId="77777777" w:rsidR="00E0705E" w:rsidRDefault="00E0705E" w:rsidP="00E0705E"/>
    <w:p w14:paraId="78418C65" w14:textId="77777777" w:rsidR="00E15B16" w:rsidRDefault="00E15B16" w:rsidP="00E0705E"/>
    <w:p w14:paraId="05B401F8" w14:textId="77777777" w:rsidR="00E15B16" w:rsidRDefault="00E15B16" w:rsidP="00E0705E"/>
    <w:p w14:paraId="65BC438F" w14:textId="77777777" w:rsidR="00E15B16" w:rsidRDefault="00E15B16" w:rsidP="00E0705E"/>
    <w:p w14:paraId="0278B532" w14:textId="77777777" w:rsidR="00E15B16" w:rsidRDefault="00E15B16" w:rsidP="00E0705E"/>
    <w:p w14:paraId="6BCBF662" w14:textId="77777777" w:rsidR="00E15B16" w:rsidRDefault="00E15B16" w:rsidP="00E0705E"/>
    <w:p w14:paraId="0AB808CA" w14:textId="77777777" w:rsidR="00E15B16" w:rsidRDefault="00E15B16" w:rsidP="00E0705E"/>
    <w:p w14:paraId="5135E940" w14:textId="0B7B84D5" w:rsidR="00E15B16" w:rsidRPr="00A274C8" w:rsidRDefault="00E15B16" w:rsidP="00A274C8">
      <w:pPr>
        <w:pStyle w:val="Heading4"/>
      </w:pPr>
      <w:r w:rsidRPr="00A274C8">
        <w:t>Appeals Circulars 202</w:t>
      </w:r>
      <w:r w:rsidR="00734CF8">
        <w:t>1</w:t>
      </w:r>
    </w:p>
    <w:p w14:paraId="1C421B1D" w14:textId="77777777" w:rsidR="00E15B16" w:rsidRPr="00E15B16" w:rsidRDefault="00E15B16" w:rsidP="00E15B1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1556"/>
        <w:gridCol w:w="1856"/>
        <w:gridCol w:w="3737"/>
      </w:tblGrid>
      <w:tr w:rsidR="001522D9" w:rsidRPr="00E15B16" w14:paraId="5C28CF07" w14:textId="77777777" w:rsidTr="00C90FE8">
        <w:trPr>
          <w:trHeight w:val="516"/>
        </w:trPr>
        <w:tc>
          <w:tcPr>
            <w:tcW w:w="1188" w:type="dxa"/>
            <w:shd w:val="clear" w:color="auto" w:fill="auto"/>
            <w:vAlign w:val="center"/>
          </w:tcPr>
          <w:p w14:paraId="2F16D95D" w14:textId="77777777" w:rsidR="00E15B16" w:rsidRPr="00E15B16" w:rsidRDefault="00E15B16" w:rsidP="00E15B16">
            <w:pPr>
              <w:rPr>
                <w:b/>
              </w:rPr>
            </w:pPr>
            <w:r w:rsidRPr="00E15B16">
              <w:rPr>
                <w:b/>
              </w:rPr>
              <w:t>Number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A9D969C" w14:textId="77777777" w:rsidR="00E15B16" w:rsidRPr="00E15B16" w:rsidRDefault="00E15B16" w:rsidP="00E15B16">
            <w:pPr>
              <w:rPr>
                <w:b/>
              </w:rPr>
            </w:pPr>
            <w:r w:rsidRPr="00E15B16">
              <w:rPr>
                <w:b/>
              </w:rPr>
              <w:t>Date Circulated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2AA79FA3" w14:textId="77777777" w:rsidR="00E15B16" w:rsidRPr="00E15B16" w:rsidRDefault="00E15B16" w:rsidP="00E15B16">
            <w:pPr>
              <w:rPr>
                <w:b/>
              </w:rPr>
            </w:pPr>
            <w:r w:rsidRPr="00E15B16">
              <w:rPr>
                <w:b/>
              </w:rPr>
              <w:t>Appellant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BA3F632" w14:textId="46B40815" w:rsidR="00E15B16" w:rsidRPr="00E15B16" w:rsidRDefault="003D3A85" w:rsidP="00E15B16">
            <w:pPr>
              <w:rPr>
                <w:b/>
              </w:rPr>
            </w:pPr>
            <w:r>
              <w:rPr>
                <w:b/>
              </w:rPr>
              <w:t>Content</w:t>
            </w:r>
          </w:p>
        </w:tc>
      </w:tr>
      <w:tr w:rsidR="001522D9" w:rsidRPr="00E15B16" w14:paraId="067231ED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249B2AEB" w14:textId="698C9E27" w:rsidR="00E15B16" w:rsidRPr="00E15B16" w:rsidRDefault="00734CF8" w:rsidP="00E15B16">
            <w:r>
              <w:t>A01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FCA3802" w14:textId="258B34F8" w:rsidR="00E15B16" w:rsidRPr="00E15B16" w:rsidRDefault="00734CF8" w:rsidP="00E15B16">
            <w:r>
              <w:t>12 January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BD39F3C" w14:textId="182B4925" w:rsidR="00E15B16" w:rsidRPr="00E15B16" w:rsidRDefault="00734CF8" w:rsidP="00E15B16">
            <w:r w:rsidRPr="00734CF8">
              <w:t>Quarterly Appeals Circular Q4 2020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F244A74" w14:textId="77777777" w:rsidR="00E15B16" w:rsidRPr="0039466E" w:rsidRDefault="003D3A85" w:rsidP="0039466E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>Submissions of no case to answer</w:t>
            </w:r>
            <w:r>
              <w:t xml:space="preserve"> – </w:t>
            </w:r>
            <w:r w:rsidRPr="0039466E">
              <w:rPr>
                <w:i/>
                <w:iCs/>
              </w:rPr>
              <w:t>SRA v Sheikh</w:t>
            </w:r>
          </w:p>
          <w:p w14:paraId="10F088F3" w14:textId="3F61E297" w:rsidR="003D3A85" w:rsidRPr="0039466E" w:rsidRDefault="003D3A85" w:rsidP="0039466E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 xml:space="preserve">Conduct within a </w:t>
            </w:r>
            <w:r w:rsidR="00A63F83" w:rsidRPr="0039466E">
              <w:rPr>
                <w:b/>
                <w:bCs/>
              </w:rPr>
              <w:t>registrant’s</w:t>
            </w:r>
            <w:r w:rsidRPr="0039466E">
              <w:rPr>
                <w:b/>
                <w:bCs/>
              </w:rPr>
              <w:t xml:space="preserve"> personal life </w:t>
            </w:r>
            <w:r>
              <w:t xml:space="preserve">– </w:t>
            </w:r>
            <w:r w:rsidRPr="0039466E">
              <w:rPr>
                <w:i/>
                <w:iCs/>
              </w:rPr>
              <w:t>Beckwith v SRA</w:t>
            </w:r>
          </w:p>
          <w:p w14:paraId="3ACB0491" w14:textId="10D9C817" w:rsidR="003D3A85" w:rsidRPr="0039466E" w:rsidRDefault="003D3A85" w:rsidP="0039466E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 xml:space="preserve">Convictions </w:t>
            </w:r>
            <w:r w:rsidR="0039466E" w:rsidRPr="0039466E">
              <w:rPr>
                <w:b/>
                <w:bCs/>
              </w:rPr>
              <w:t>/</w:t>
            </w:r>
            <w:r w:rsidRPr="0039466E">
              <w:rPr>
                <w:b/>
                <w:bCs/>
              </w:rPr>
              <w:t>relitigating</w:t>
            </w:r>
            <w:r w:rsidR="0039466E" w:rsidRPr="0039466E">
              <w:rPr>
                <w:b/>
                <w:bCs/>
              </w:rPr>
              <w:t xml:space="preserve">; </w:t>
            </w:r>
            <w:r w:rsidRPr="0039466E">
              <w:rPr>
                <w:b/>
                <w:bCs/>
              </w:rPr>
              <w:t>conditional discharges</w:t>
            </w:r>
            <w:r>
              <w:t xml:space="preserve"> – </w:t>
            </w:r>
            <w:r w:rsidRPr="0039466E">
              <w:rPr>
                <w:i/>
                <w:iCs/>
              </w:rPr>
              <w:t>Wray v General Osteopathic Council</w:t>
            </w:r>
          </w:p>
          <w:p w14:paraId="6A409E76" w14:textId="4BD116E2" w:rsidR="003D3A85" w:rsidRPr="0039466E" w:rsidRDefault="003D3A85" w:rsidP="0039466E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>Consistency at each stage of the hearing</w:t>
            </w:r>
            <w:r w:rsidR="0039466E" w:rsidRPr="0039466E">
              <w:rPr>
                <w:b/>
                <w:bCs/>
              </w:rPr>
              <w:t xml:space="preserve">; </w:t>
            </w:r>
            <w:r w:rsidRPr="0039466E">
              <w:rPr>
                <w:b/>
                <w:bCs/>
              </w:rPr>
              <w:t xml:space="preserve">weighing aggravating &amp; mitigating factors </w:t>
            </w:r>
            <w:r>
              <w:t xml:space="preserve">– </w:t>
            </w:r>
            <w:r w:rsidRPr="0039466E">
              <w:rPr>
                <w:i/>
                <w:iCs/>
              </w:rPr>
              <w:t>PSA v GMC &amp; Dighton</w:t>
            </w:r>
          </w:p>
          <w:p w14:paraId="5A830E90" w14:textId="41ACC924" w:rsidR="003D3A85" w:rsidRPr="0039466E" w:rsidRDefault="00A63F83" w:rsidP="0039466E">
            <w:pPr>
              <w:pStyle w:val="ListParagraph"/>
              <w:numPr>
                <w:ilvl w:val="0"/>
                <w:numId w:val="46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>Failure to comply</w:t>
            </w:r>
            <w:r w:rsidR="003D3A85" w:rsidRPr="0039466E">
              <w:rPr>
                <w:b/>
                <w:bCs/>
              </w:rPr>
              <w:t xml:space="preserve"> with health conditions</w:t>
            </w:r>
            <w:r w:rsidR="0039466E" w:rsidRPr="0039466E">
              <w:rPr>
                <w:b/>
                <w:bCs/>
              </w:rPr>
              <w:t>/</w:t>
            </w:r>
            <w:r w:rsidR="003D3A85" w:rsidRPr="0039466E">
              <w:rPr>
                <w:b/>
                <w:bCs/>
              </w:rPr>
              <w:t>erasure</w:t>
            </w:r>
            <w:r w:rsidR="0039466E" w:rsidRPr="0039466E">
              <w:rPr>
                <w:b/>
                <w:bCs/>
              </w:rPr>
              <w:t xml:space="preserve"> </w:t>
            </w:r>
            <w:r w:rsidR="003D3A85">
              <w:t xml:space="preserve">– </w:t>
            </w:r>
            <w:r w:rsidR="003D3A85" w:rsidRPr="0039466E">
              <w:rPr>
                <w:i/>
                <w:iCs/>
              </w:rPr>
              <w:t>X v GDC</w:t>
            </w:r>
          </w:p>
          <w:p w14:paraId="40909A09" w14:textId="3ECF8026" w:rsidR="003D3A85" w:rsidRPr="00E15B16" w:rsidRDefault="003D3A85" w:rsidP="0039466E">
            <w:pPr>
              <w:pStyle w:val="ListParagraph"/>
              <w:numPr>
                <w:ilvl w:val="0"/>
                <w:numId w:val="46"/>
              </w:numPr>
            </w:pPr>
            <w:r w:rsidRPr="0039466E">
              <w:rPr>
                <w:b/>
                <w:bCs/>
              </w:rPr>
              <w:t>Review hearings</w:t>
            </w:r>
            <w:r w:rsidR="0039466E" w:rsidRPr="0039466E">
              <w:rPr>
                <w:b/>
                <w:bCs/>
              </w:rPr>
              <w:t xml:space="preserve">/ </w:t>
            </w:r>
            <w:r w:rsidRPr="0039466E">
              <w:rPr>
                <w:b/>
                <w:bCs/>
              </w:rPr>
              <w:t>assessment of current impairment</w:t>
            </w:r>
            <w:r>
              <w:t xml:space="preserve">– </w:t>
            </w:r>
            <w:proofErr w:type="spellStart"/>
            <w:r w:rsidRPr="0039466E">
              <w:rPr>
                <w:i/>
                <w:iCs/>
              </w:rPr>
              <w:t>Dhoorah</w:t>
            </w:r>
            <w:proofErr w:type="spellEnd"/>
            <w:r w:rsidRPr="0039466E">
              <w:rPr>
                <w:i/>
                <w:iCs/>
              </w:rPr>
              <w:t xml:space="preserve"> v NMC</w:t>
            </w:r>
          </w:p>
        </w:tc>
      </w:tr>
      <w:tr w:rsidR="001522D9" w:rsidRPr="00E15B16" w14:paraId="4F515C1D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3E2885BA" w14:textId="64EB3535" w:rsidR="00EF0AE8" w:rsidRPr="00E15B16" w:rsidRDefault="00965FFE" w:rsidP="00E15B16">
            <w:r>
              <w:t>A02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39EF462" w14:textId="7484660F" w:rsidR="00EF0AE8" w:rsidRPr="00E15B16" w:rsidRDefault="00965FFE" w:rsidP="00E15B16">
            <w:r>
              <w:t>10 February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41215D6" w14:textId="50E608B5" w:rsidR="00EF0AE8" w:rsidRPr="00E15B16" w:rsidRDefault="00965FFE" w:rsidP="00E15B16">
            <w:r w:rsidRPr="00965FFE">
              <w:t xml:space="preserve">PSA v HPCP </w:t>
            </w:r>
            <w:r w:rsidR="007C6A5C">
              <w:t>&amp;</w:t>
            </w:r>
            <w:r w:rsidRPr="00965FFE">
              <w:t xml:space="preserve"> Yong [2021] EWHC 52 (Admin)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74DCA275" w14:textId="77EA0F73" w:rsidR="00EF0AE8" w:rsidRPr="0039466E" w:rsidRDefault="003D3A85" w:rsidP="0039466E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39466E">
              <w:rPr>
                <w:b/>
                <w:bCs/>
              </w:rPr>
              <w:t>Harassment &amp; the Equality Act</w:t>
            </w:r>
            <w:r w:rsidR="0039466E" w:rsidRPr="0039466E">
              <w:rPr>
                <w:b/>
                <w:bCs/>
              </w:rPr>
              <w:t xml:space="preserve">; </w:t>
            </w:r>
            <w:r w:rsidRPr="0039466E">
              <w:rPr>
                <w:b/>
                <w:bCs/>
              </w:rPr>
              <w:t xml:space="preserve">consideration of sexual motivation &amp; reference to the evidence </w:t>
            </w:r>
            <w:r w:rsidR="007F001E" w:rsidRPr="0039466E">
              <w:rPr>
                <w:b/>
                <w:bCs/>
              </w:rPr>
              <w:t xml:space="preserve">of sexual motivation even where discounted by the tribunal </w:t>
            </w:r>
          </w:p>
        </w:tc>
      </w:tr>
      <w:tr w:rsidR="001522D9" w:rsidRPr="00E15B16" w14:paraId="03BAA98C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4A981DB3" w14:textId="52CEFB53" w:rsidR="001D5EAD" w:rsidRDefault="00637A10" w:rsidP="00E15B16">
            <w:r>
              <w:lastRenderedPageBreak/>
              <w:t>A03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8B83617" w14:textId="6B5AE1D0" w:rsidR="001D5EAD" w:rsidRDefault="00637A10" w:rsidP="00E15B16">
            <w:r>
              <w:t>18 March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DFFF6EE" w14:textId="6B1AC4E4" w:rsidR="001D5EAD" w:rsidRDefault="00637A10" w:rsidP="00E15B16">
            <w:r w:rsidRPr="00637A10">
              <w:t xml:space="preserve">GMC v </w:t>
            </w:r>
            <w:proofErr w:type="spellStart"/>
            <w:r w:rsidRPr="00637A10">
              <w:t>Donadio</w:t>
            </w:r>
            <w:proofErr w:type="spellEnd"/>
            <w:r w:rsidRPr="00637A10">
              <w:t xml:space="preserve"> [2021] EWHC 562 (Admin</w:t>
            </w:r>
            <w:r>
              <w:t>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FB0FBDA" w14:textId="38EC8CD7" w:rsidR="001D5EAD" w:rsidRPr="0039466E" w:rsidRDefault="00A63F83" w:rsidP="0039466E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39466E">
              <w:rPr>
                <w:b/>
                <w:bCs/>
              </w:rPr>
              <w:t xml:space="preserve">Sanctions Guidance is indicative </w:t>
            </w:r>
            <w:r w:rsidR="007C6A5C">
              <w:rPr>
                <w:b/>
                <w:bCs/>
              </w:rPr>
              <w:t>&amp;</w:t>
            </w:r>
            <w:r w:rsidRPr="0039466E">
              <w:rPr>
                <w:b/>
                <w:bCs/>
              </w:rPr>
              <w:t xml:space="preserve"> non-exhaustive</w:t>
            </w:r>
            <w:r w:rsidR="0039466E" w:rsidRPr="0039466E">
              <w:rPr>
                <w:b/>
                <w:bCs/>
              </w:rPr>
              <w:t xml:space="preserve">; </w:t>
            </w:r>
            <w:r w:rsidRPr="0039466E">
              <w:rPr>
                <w:b/>
                <w:bCs/>
              </w:rPr>
              <w:t>provision of reasons</w:t>
            </w:r>
            <w:r w:rsidR="0039466E" w:rsidRPr="0039466E">
              <w:rPr>
                <w:b/>
                <w:bCs/>
              </w:rPr>
              <w:t xml:space="preserve">; </w:t>
            </w:r>
            <w:r w:rsidRPr="0039466E">
              <w:rPr>
                <w:b/>
                <w:bCs/>
              </w:rPr>
              <w:t>regulatory breaches</w:t>
            </w:r>
          </w:p>
        </w:tc>
      </w:tr>
      <w:tr w:rsidR="001522D9" w:rsidRPr="00E15B16" w14:paraId="63EEF562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13DED7E0" w14:textId="2D28CAA5" w:rsidR="008257EA" w:rsidRDefault="0067725E" w:rsidP="00E15B16">
            <w:r>
              <w:t>A04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70C5DD3" w14:textId="48CE986F" w:rsidR="008257EA" w:rsidRDefault="0067725E" w:rsidP="00E15B16">
            <w:r>
              <w:t>19 March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6078635B" w14:textId="0C7FA2AE" w:rsidR="008257EA" w:rsidRDefault="003F06DD" w:rsidP="00E15B16">
            <w:r w:rsidRPr="003F06DD">
              <w:t>Khan v The General Medical Council [2021] EWHC 374 (Admin)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58895FE" w14:textId="6C50A21F" w:rsidR="008257EA" w:rsidRPr="0039466E" w:rsidRDefault="00A63F83" w:rsidP="0039466E">
            <w:pPr>
              <w:pStyle w:val="ListParagraph"/>
              <w:numPr>
                <w:ilvl w:val="0"/>
                <w:numId w:val="47"/>
              </w:numPr>
              <w:rPr>
                <w:b/>
                <w:bCs/>
              </w:rPr>
            </w:pPr>
            <w:r w:rsidRPr="0039466E">
              <w:rPr>
                <w:b/>
                <w:bCs/>
              </w:rPr>
              <w:t>Witness credibility/good character</w:t>
            </w:r>
          </w:p>
        </w:tc>
      </w:tr>
      <w:tr w:rsidR="001522D9" w:rsidRPr="00E15B16" w14:paraId="6936C95B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52BDC7EF" w14:textId="0CF97A40" w:rsidR="008C7410" w:rsidRDefault="00221DDB" w:rsidP="00E15B16">
            <w:r>
              <w:t>A05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ABFC1B" w14:textId="3CA08214" w:rsidR="008C7410" w:rsidRDefault="00221DDB" w:rsidP="00E15B16">
            <w:r>
              <w:t>20 April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1F3814F" w14:textId="198CB4D3" w:rsidR="008C7410" w:rsidRDefault="00221DDB" w:rsidP="00E15B16">
            <w:r>
              <w:t>Quarterly Appeals Circular Q1 2021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46008CD" w14:textId="77777777" w:rsidR="008C7410" w:rsidRPr="0039466E" w:rsidRDefault="00A63F83" w:rsidP="0039466E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 xml:space="preserve">Procedure/bias </w:t>
            </w:r>
            <w:r>
              <w:t xml:space="preserve">– </w:t>
            </w:r>
            <w:r w:rsidRPr="0039466E">
              <w:rPr>
                <w:i/>
                <w:iCs/>
              </w:rPr>
              <w:t>Reddy v GMC</w:t>
            </w:r>
          </w:p>
          <w:p w14:paraId="2C18FA4D" w14:textId="56E435B6" w:rsidR="00A63F83" w:rsidRPr="0039466E" w:rsidRDefault="00A63F83" w:rsidP="0039466E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 xml:space="preserve">Witness evidence/credibility &amp; good character/dishonesty </w:t>
            </w:r>
            <w:r>
              <w:t xml:space="preserve">– </w:t>
            </w:r>
            <w:r w:rsidRPr="0039466E">
              <w:rPr>
                <w:i/>
                <w:iCs/>
              </w:rPr>
              <w:t>Martin v SRA</w:t>
            </w:r>
          </w:p>
          <w:p w14:paraId="0BED6A53" w14:textId="51C166F4" w:rsidR="00A63F83" w:rsidRPr="0039466E" w:rsidRDefault="00A63F83" w:rsidP="0039466E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>Distinction between professional relationships/treatment</w:t>
            </w:r>
            <w:r w:rsidR="007C6A5C">
              <w:rPr>
                <w:b/>
                <w:bCs/>
              </w:rPr>
              <w:t xml:space="preserve">; </w:t>
            </w:r>
            <w:r w:rsidRPr="0039466E">
              <w:rPr>
                <w:b/>
                <w:bCs/>
              </w:rPr>
              <w:t xml:space="preserve"> </w:t>
            </w:r>
            <w:r w:rsidRPr="0039466E">
              <w:rPr>
                <w:b/>
                <w:bCs/>
              </w:rPr>
              <w:t xml:space="preserve">maintenance of innocence </w:t>
            </w:r>
            <w:r w:rsidRPr="0039466E">
              <w:rPr>
                <w:b/>
                <w:bCs/>
              </w:rPr>
              <w:t>v</w:t>
            </w:r>
            <w:r w:rsidRPr="0039466E">
              <w:rPr>
                <w:b/>
                <w:bCs/>
              </w:rPr>
              <w:t xml:space="preserve"> lack of insight</w:t>
            </w:r>
            <w:r w:rsidRPr="0039466E">
              <w:rPr>
                <w:b/>
                <w:bCs/>
              </w:rPr>
              <w:t xml:space="preserve"> </w:t>
            </w:r>
            <w:r>
              <w:t xml:space="preserve">– </w:t>
            </w:r>
            <w:r w:rsidRPr="0039466E">
              <w:rPr>
                <w:i/>
                <w:iCs/>
              </w:rPr>
              <w:t>Sayer v General Osteopathic Council</w:t>
            </w:r>
          </w:p>
          <w:p w14:paraId="547BEAFF" w14:textId="5DF0EDAF" w:rsidR="00A63F83" w:rsidRPr="0039466E" w:rsidRDefault="00A63F83" w:rsidP="0039466E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 xml:space="preserve">Certificate of conviction/going behind the conviction </w:t>
            </w:r>
            <w:r>
              <w:t xml:space="preserve">– </w:t>
            </w:r>
            <w:proofErr w:type="spellStart"/>
            <w:r w:rsidRPr="0039466E">
              <w:rPr>
                <w:i/>
                <w:iCs/>
              </w:rPr>
              <w:t>Achina</w:t>
            </w:r>
            <w:proofErr w:type="spellEnd"/>
            <w:r w:rsidRPr="0039466E">
              <w:rPr>
                <w:i/>
                <w:iCs/>
              </w:rPr>
              <w:t xml:space="preserve"> v GPC</w:t>
            </w:r>
          </w:p>
          <w:p w14:paraId="35B483F3" w14:textId="06A44573" w:rsidR="00A63F83" w:rsidRPr="0039466E" w:rsidRDefault="00A63F83" w:rsidP="0039466E">
            <w:pPr>
              <w:pStyle w:val="ListParagraph"/>
              <w:numPr>
                <w:ilvl w:val="0"/>
                <w:numId w:val="47"/>
              </w:numPr>
              <w:rPr>
                <w:i/>
                <w:iCs/>
              </w:rPr>
            </w:pPr>
            <w:r w:rsidRPr="0039466E">
              <w:rPr>
                <w:b/>
                <w:bCs/>
              </w:rPr>
              <w:t>Seriousness of alleged conduct/abuse of power</w:t>
            </w:r>
            <w:r w:rsidR="0039466E" w:rsidRPr="0039466E">
              <w:rPr>
                <w:b/>
                <w:bCs/>
              </w:rPr>
              <w:t xml:space="preserve">; </w:t>
            </w:r>
            <w:r w:rsidR="007C6A5C">
              <w:rPr>
                <w:b/>
                <w:bCs/>
              </w:rPr>
              <w:t xml:space="preserve"> </w:t>
            </w:r>
            <w:r w:rsidRPr="0039466E">
              <w:rPr>
                <w:b/>
                <w:bCs/>
              </w:rPr>
              <w:t>lack of insight</w:t>
            </w:r>
            <w:r w:rsidR="0039466E" w:rsidRPr="0039466E">
              <w:rPr>
                <w:b/>
                <w:bCs/>
              </w:rPr>
              <w:t>/</w:t>
            </w:r>
            <w:r w:rsidRPr="0039466E">
              <w:rPr>
                <w:b/>
                <w:bCs/>
              </w:rPr>
              <w:t xml:space="preserve"> engagement</w:t>
            </w:r>
            <w:r w:rsidR="0039466E" w:rsidRPr="0039466E">
              <w:rPr>
                <w:b/>
                <w:bCs/>
              </w:rPr>
              <w:t xml:space="preserve"> with proceedings; </w:t>
            </w:r>
            <w:r w:rsidR="001522D9" w:rsidRPr="0039466E">
              <w:rPr>
                <w:b/>
                <w:bCs/>
              </w:rPr>
              <w:t>mitigation factors should be consistent with findings of fact</w:t>
            </w:r>
            <w:r w:rsidRPr="0039466E">
              <w:rPr>
                <w:b/>
                <w:bCs/>
              </w:rPr>
              <w:t xml:space="preserve"> </w:t>
            </w:r>
            <w:r>
              <w:t xml:space="preserve">– </w:t>
            </w:r>
            <w:r w:rsidRPr="0039466E">
              <w:rPr>
                <w:i/>
                <w:iCs/>
              </w:rPr>
              <w:t>PSA v GMC &amp; Hanson</w:t>
            </w:r>
          </w:p>
        </w:tc>
      </w:tr>
      <w:tr w:rsidR="001522D9" w:rsidRPr="00E15B16" w14:paraId="73A6F2CF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56FAD44D" w14:textId="00AA70E0" w:rsidR="008C7410" w:rsidRDefault="00E42627" w:rsidP="00E15B16">
            <w:r>
              <w:t>A06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FAF7F90" w14:textId="280F5FA0" w:rsidR="008C7410" w:rsidRDefault="00E42627" w:rsidP="00E15B16">
            <w:r>
              <w:t>21 April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ABD9F3D" w14:textId="6EDFA827" w:rsidR="008C7410" w:rsidRPr="008C7410" w:rsidRDefault="00E42627" w:rsidP="00E15B16">
            <w:proofErr w:type="spellStart"/>
            <w:r w:rsidRPr="00E42627">
              <w:t>Bux</w:t>
            </w:r>
            <w:proofErr w:type="spellEnd"/>
            <w:r w:rsidRPr="00E42627">
              <w:t xml:space="preserve"> v GMC 2021 EWHC 762</w:t>
            </w:r>
            <w:r>
              <w:t xml:space="preserve"> (Admin)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792BE9B" w14:textId="5AE6BA3F" w:rsidR="008C7410" w:rsidRPr="007C6A5C" w:rsidRDefault="001522D9" w:rsidP="007C6A5C">
            <w:pPr>
              <w:pStyle w:val="ListParagraph"/>
              <w:numPr>
                <w:ilvl w:val="0"/>
                <w:numId w:val="48"/>
              </w:numPr>
              <w:rPr>
                <w:b/>
                <w:bCs/>
              </w:rPr>
            </w:pPr>
            <w:r w:rsidRPr="007C6A5C">
              <w:rPr>
                <w:b/>
                <w:bCs/>
              </w:rPr>
              <w:t>Judgments of a previous court are admissible but not binding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t>dishonesty (</w:t>
            </w:r>
            <w:r w:rsidRPr="007C6A5C">
              <w:rPr>
                <w:b/>
                <w:bCs/>
                <w:i/>
                <w:iCs/>
              </w:rPr>
              <w:t>Ivey v Genting</w:t>
            </w:r>
            <w:r w:rsidRPr="007C6A5C">
              <w:rPr>
                <w:b/>
                <w:bCs/>
              </w:rPr>
              <w:t xml:space="preserve">) </w:t>
            </w:r>
            <w:r w:rsidR="007C6A5C">
              <w:rPr>
                <w:b/>
                <w:bCs/>
              </w:rPr>
              <w:t>&amp;</w:t>
            </w:r>
            <w:r w:rsidRPr="007C6A5C">
              <w:rPr>
                <w:b/>
                <w:bCs/>
              </w:rPr>
              <w:t xml:space="preserve"> knowledge of dishonesty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t xml:space="preserve">Expert witnesses </w:t>
            </w:r>
            <w:r w:rsidR="007C6A5C">
              <w:rPr>
                <w:b/>
                <w:bCs/>
              </w:rPr>
              <w:t>&amp;</w:t>
            </w:r>
            <w:r w:rsidRPr="007C6A5C">
              <w:rPr>
                <w:b/>
                <w:bCs/>
              </w:rPr>
              <w:t xml:space="preserve"> conflicts of interest</w:t>
            </w:r>
          </w:p>
        </w:tc>
      </w:tr>
      <w:tr w:rsidR="001522D9" w:rsidRPr="00E15B16" w14:paraId="3A6948EA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0AE10AA7" w14:textId="50B9EA52" w:rsidR="00645AD6" w:rsidRDefault="00AA3AE8" w:rsidP="00E15B16">
            <w:r>
              <w:t>A07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6625F5D" w14:textId="5D24C68A" w:rsidR="00645AD6" w:rsidRDefault="00AA3AE8" w:rsidP="00E15B16">
            <w:r>
              <w:t>12 May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AA2B058" w14:textId="77777777" w:rsidR="00CA250E" w:rsidRDefault="00CA250E" w:rsidP="00CA250E">
            <w:proofErr w:type="spellStart"/>
            <w:r>
              <w:t>Towuaghantse</w:t>
            </w:r>
            <w:proofErr w:type="spellEnd"/>
            <w:r>
              <w:t xml:space="preserve"> v GMC [2021] </w:t>
            </w:r>
            <w:r>
              <w:lastRenderedPageBreak/>
              <w:t>EWHC 681 (Admin)</w:t>
            </w:r>
          </w:p>
          <w:p w14:paraId="36F1638E" w14:textId="423B2D60" w:rsidR="00645AD6" w:rsidRPr="008C7410" w:rsidRDefault="00CA250E" w:rsidP="00CA250E">
            <w:r>
              <w:t xml:space="preserve">&amp; Al </w:t>
            </w:r>
            <w:proofErr w:type="spellStart"/>
            <w:r>
              <w:t>Nageim</w:t>
            </w:r>
            <w:proofErr w:type="spellEnd"/>
            <w:r>
              <w:t xml:space="preserve"> v GMC [2021] EWHC 877 (Admin)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6585004C" w14:textId="64B97B12" w:rsidR="00645AD6" w:rsidRPr="007C6A5C" w:rsidRDefault="00E11C76" w:rsidP="007C6A5C">
            <w:pPr>
              <w:pStyle w:val="ListParagraph"/>
              <w:numPr>
                <w:ilvl w:val="0"/>
                <w:numId w:val="48"/>
              </w:numPr>
              <w:rPr>
                <w:b/>
                <w:bCs/>
              </w:rPr>
            </w:pPr>
            <w:r w:rsidRPr="007C6A5C">
              <w:rPr>
                <w:b/>
                <w:bCs/>
              </w:rPr>
              <w:lastRenderedPageBreak/>
              <w:t>Narrative conclusions from a previous Court are admissible but not binding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lastRenderedPageBreak/>
              <w:t>giving dishonest evidence</w:t>
            </w:r>
            <w:r w:rsidR="0039466E" w:rsidRPr="007C6A5C">
              <w:rPr>
                <w:b/>
                <w:bCs/>
              </w:rPr>
              <w:t>/</w:t>
            </w:r>
            <w:r w:rsidRPr="007C6A5C">
              <w:rPr>
                <w:b/>
                <w:bCs/>
              </w:rPr>
              <w:t xml:space="preserve"> misleading a tribunal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t>defended allegations</w:t>
            </w:r>
            <w:r w:rsidR="0039466E" w:rsidRPr="007C6A5C">
              <w:rPr>
                <w:b/>
                <w:bCs/>
              </w:rPr>
              <w:t>/</w:t>
            </w:r>
            <w:r w:rsidRPr="007C6A5C">
              <w:rPr>
                <w:b/>
                <w:bCs/>
              </w:rPr>
              <w:t>development of insight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t>Apparent bias</w:t>
            </w:r>
            <w:r w:rsidR="0039466E" w:rsidRPr="007C6A5C">
              <w:rPr>
                <w:b/>
                <w:bCs/>
              </w:rPr>
              <w:t>/</w:t>
            </w:r>
            <w:r w:rsidRPr="007C6A5C">
              <w:rPr>
                <w:b/>
                <w:bCs/>
              </w:rPr>
              <w:t xml:space="preserve">doctor </w:t>
            </w:r>
            <w:r w:rsidR="007C6A5C" w:rsidRPr="007C6A5C">
              <w:rPr>
                <w:b/>
                <w:bCs/>
              </w:rPr>
              <w:t>&amp;</w:t>
            </w:r>
            <w:r w:rsidRPr="007C6A5C">
              <w:rPr>
                <w:b/>
                <w:bCs/>
              </w:rPr>
              <w:t xml:space="preserve"> expert witness</w:t>
            </w:r>
          </w:p>
        </w:tc>
      </w:tr>
      <w:tr w:rsidR="001522D9" w:rsidRPr="00E15B16" w14:paraId="4061E10B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7E3C0866" w14:textId="14A6BE53" w:rsidR="00C90FE8" w:rsidRDefault="00F52ACD" w:rsidP="00E15B16">
            <w:r>
              <w:lastRenderedPageBreak/>
              <w:t>A08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01B3B5F" w14:textId="0F275309" w:rsidR="00C90FE8" w:rsidRDefault="00F52ACD" w:rsidP="00E15B16">
            <w:r>
              <w:t>13 July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FC19158" w14:textId="3D4F44EF" w:rsidR="00C90FE8" w:rsidRPr="00645AD6" w:rsidRDefault="00F52ACD" w:rsidP="00E15B16">
            <w:r w:rsidRPr="00F52ACD">
              <w:t>Quarterly Appeals Circular Q2 202</w:t>
            </w:r>
            <w: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AC5F685" w14:textId="083E9E0F" w:rsidR="00E11C76" w:rsidRDefault="00FB12D5" w:rsidP="007C6A5C">
            <w:pPr>
              <w:pStyle w:val="ListParagraph"/>
              <w:numPr>
                <w:ilvl w:val="0"/>
                <w:numId w:val="48"/>
              </w:numPr>
            </w:pPr>
            <w:r w:rsidRPr="007C6A5C">
              <w:rPr>
                <w:b/>
                <w:bCs/>
              </w:rPr>
              <w:t>E</w:t>
            </w:r>
            <w:r w:rsidR="00E11C76" w:rsidRPr="007C6A5C">
              <w:rPr>
                <w:b/>
                <w:bCs/>
              </w:rPr>
              <w:t>vidence of a sexual motivation could be the behaviour itself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t>consistency of findings at each stage</w:t>
            </w:r>
            <w:r w:rsidR="00E11C76">
              <w:t xml:space="preserve"> </w:t>
            </w:r>
            <w:r>
              <w:t>-</w:t>
            </w:r>
            <w:proofErr w:type="spellStart"/>
            <w:r w:rsidR="00E11C76" w:rsidRPr="007C6A5C">
              <w:rPr>
                <w:i/>
                <w:iCs/>
              </w:rPr>
              <w:t>Haris</w:t>
            </w:r>
            <w:proofErr w:type="spellEnd"/>
            <w:r w:rsidR="00E11C76" w:rsidRPr="007C6A5C">
              <w:rPr>
                <w:i/>
                <w:iCs/>
              </w:rPr>
              <w:t xml:space="preserve"> v GMC</w:t>
            </w:r>
          </w:p>
          <w:p w14:paraId="1935E302" w14:textId="68EAAE46" w:rsidR="00E11C76" w:rsidRDefault="00E11C76" w:rsidP="007C6A5C">
            <w:pPr>
              <w:pStyle w:val="ListParagraph"/>
              <w:numPr>
                <w:ilvl w:val="0"/>
                <w:numId w:val="48"/>
              </w:numPr>
            </w:pPr>
            <w:r w:rsidRPr="007C6A5C">
              <w:rPr>
                <w:b/>
                <w:bCs/>
              </w:rPr>
              <w:t>Declaration of FTP proceedings</w:t>
            </w:r>
            <w:r w:rsidR="0039466E" w:rsidRPr="007C6A5C">
              <w:rPr>
                <w:b/>
                <w:bCs/>
              </w:rPr>
              <w:t xml:space="preserve"> on </w:t>
            </w:r>
            <w:r w:rsidR="00FB12D5" w:rsidRPr="007C6A5C">
              <w:rPr>
                <w:b/>
                <w:bCs/>
              </w:rPr>
              <w:t>application forms</w:t>
            </w:r>
            <w:r w:rsidRPr="007C6A5C">
              <w:rPr>
                <w:b/>
                <w:bCs/>
              </w:rPr>
              <w:t xml:space="preserve"> </w:t>
            </w:r>
            <w:r>
              <w:t xml:space="preserve">– </w:t>
            </w:r>
            <w:r w:rsidRPr="007C6A5C">
              <w:rPr>
                <w:i/>
                <w:iCs/>
              </w:rPr>
              <w:t>Dad v GDC</w:t>
            </w:r>
          </w:p>
          <w:p w14:paraId="4E787065" w14:textId="46353756" w:rsidR="00FB12D5" w:rsidRPr="007C6A5C" w:rsidRDefault="00FB12D5" w:rsidP="007C6A5C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7C6A5C">
              <w:rPr>
                <w:b/>
                <w:bCs/>
              </w:rPr>
              <w:t>Wording of the allegations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t xml:space="preserve">allegations of use of offensive or racist words </w:t>
            </w:r>
            <w:r>
              <w:t xml:space="preserve">– </w:t>
            </w:r>
            <w:r w:rsidRPr="007C6A5C">
              <w:rPr>
                <w:i/>
                <w:iCs/>
              </w:rPr>
              <w:t>PSA v GPC &amp; Ali</w:t>
            </w:r>
          </w:p>
          <w:p w14:paraId="7F101FD2" w14:textId="2930D9E5" w:rsidR="00FB12D5" w:rsidRPr="007C6A5C" w:rsidRDefault="00FB12D5" w:rsidP="007C6A5C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7C6A5C">
              <w:rPr>
                <w:b/>
                <w:bCs/>
              </w:rPr>
              <w:t xml:space="preserve">Adverse inference from silence in disciplinary proceedings </w:t>
            </w:r>
            <w:r>
              <w:t xml:space="preserve">– </w:t>
            </w:r>
            <w:r w:rsidRPr="007C6A5C">
              <w:rPr>
                <w:i/>
                <w:iCs/>
              </w:rPr>
              <w:t xml:space="preserve">GMC v </w:t>
            </w:r>
            <w:proofErr w:type="spellStart"/>
            <w:r w:rsidRPr="007C6A5C">
              <w:rPr>
                <w:i/>
                <w:iCs/>
              </w:rPr>
              <w:t>Udoye</w:t>
            </w:r>
            <w:proofErr w:type="spellEnd"/>
          </w:p>
          <w:p w14:paraId="5223F1F1" w14:textId="49F30556" w:rsidR="00FB12D5" w:rsidRPr="007C6A5C" w:rsidRDefault="00FB12D5" w:rsidP="007C6A5C">
            <w:pPr>
              <w:pStyle w:val="ListParagraph"/>
              <w:numPr>
                <w:ilvl w:val="0"/>
                <w:numId w:val="48"/>
              </w:numPr>
              <w:rPr>
                <w:i/>
                <w:iCs/>
              </w:rPr>
            </w:pPr>
            <w:r w:rsidRPr="007C6A5C">
              <w:rPr>
                <w:b/>
                <w:bCs/>
              </w:rPr>
              <w:t xml:space="preserve">Absence of objective evidence in relation to mitigation should not automatically be treated as an aggravating factor </w:t>
            </w:r>
            <w:r>
              <w:t xml:space="preserve">– </w:t>
            </w:r>
            <w:r w:rsidRPr="007C6A5C">
              <w:rPr>
                <w:i/>
                <w:iCs/>
              </w:rPr>
              <w:t xml:space="preserve">Al </w:t>
            </w:r>
            <w:proofErr w:type="spellStart"/>
            <w:r w:rsidRPr="007C6A5C">
              <w:rPr>
                <w:i/>
                <w:iCs/>
              </w:rPr>
              <w:t>Nageim</w:t>
            </w:r>
            <w:proofErr w:type="spellEnd"/>
            <w:r w:rsidRPr="007C6A5C">
              <w:rPr>
                <w:i/>
                <w:iCs/>
              </w:rPr>
              <w:t xml:space="preserve"> v GMC</w:t>
            </w:r>
          </w:p>
          <w:p w14:paraId="0FF18AAE" w14:textId="42384962" w:rsidR="00C90FE8" w:rsidRDefault="00FB12D5" w:rsidP="007C6A5C">
            <w:pPr>
              <w:pStyle w:val="ListParagraph"/>
              <w:numPr>
                <w:ilvl w:val="0"/>
                <w:numId w:val="48"/>
              </w:numPr>
            </w:pPr>
            <w:r w:rsidRPr="007C6A5C">
              <w:rPr>
                <w:b/>
                <w:bCs/>
              </w:rPr>
              <w:t xml:space="preserve">Appeals (courts duty </w:t>
            </w:r>
            <w:r w:rsidR="007C6A5C">
              <w:rPr>
                <w:b/>
                <w:bCs/>
              </w:rPr>
              <w:t>&amp;</w:t>
            </w:r>
            <w:r w:rsidRPr="007C6A5C">
              <w:rPr>
                <w:b/>
                <w:bCs/>
              </w:rPr>
              <w:t xml:space="preserve"> approach, including matters of dishonesty/sexual motivation) </w:t>
            </w:r>
            <w:r>
              <w:t xml:space="preserve">– </w:t>
            </w:r>
            <w:r w:rsidRPr="007C6A5C">
              <w:rPr>
                <w:i/>
                <w:iCs/>
              </w:rPr>
              <w:t>Sastry &amp; Okpara v GMC</w:t>
            </w:r>
          </w:p>
        </w:tc>
      </w:tr>
      <w:tr w:rsidR="001522D9" w:rsidRPr="00E15B16" w14:paraId="012C2D52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3EC74C80" w14:textId="1335EDD3" w:rsidR="003F1BE1" w:rsidRDefault="00C71577" w:rsidP="00E15B16">
            <w:r>
              <w:t>A09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ECE99FF" w14:textId="14B05826" w:rsidR="003F1BE1" w:rsidRDefault="00C71577" w:rsidP="00E15B16">
            <w:r>
              <w:t>28 July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6F6C120" w14:textId="5F73208C" w:rsidR="003F1BE1" w:rsidRPr="00C90FE8" w:rsidRDefault="000B2A3D" w:rsidP="00E15B16">
            <w:r w:rsidRPr="000B2A3D">
              <w:t>GMC v Armstrong [2021] EWHC 1658 (Admin)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35BBB45" w14:textId="57045394" w:rsidR="003F1BE1" w:rsidRPr="007C6A5C" w:rsidRDefault="00FB12D5" w:rsidP="007C6A5C">
            <w:pPr>
              <w:pStyle w:val="ListParagraph"/>
              <w:numPr>
                <w:ilvl w:val="0"/>
                <w:numId w:val="49"/>
              </w:numPr>
              <w:rPr>
                <w:b/>
                <w:bCs/>
              </w:rPr>
            </w:pPr>
            <w:r w:rsidRPr="007C6A5C">
              <w:rPr>
                <w:b/>
                <w:bCs/>
              </w:rPr>
              <w:t>Weight of public interest against matters of dishonesty</w:t>
            </w:r>
            <w:r w:rsidR="0039466E" w:rsidRPr="007C6A5C">
              <w:rPr>
                <w:b/>
                <w:bCs/>
              </w:rPr>
              <w:t xml:space="preserve">; </w:t>
            </w:r>
            <w:r w:rsidRPr="007C6A5C">
              <w:rPr>
                <w:b/>
                <w:bCs/>
              </w:rPr>
              <w:t>categorising cases as “exceptional”</w:t>
            </w:r>
          </w:p>
        </w:tc>
      </w:tr>
      <w:tr w:rsidR="001522D9" w:rsidRPr="00E15B16" w14:paraId="5A6272E1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3166A8F5" w14:textId="2B41A482" w:rsidR="00A8020F" w:rsidRDefault="00A8020F" w:rsidP="00E15B16">
            <w:r>
              <w:t>A10 21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A6C7F5E" w14:textId="29F86BEC" w:rsidR="00A8020F" w:rsidRDefault="00A8020F" w:rsidP="00E15B16">
            <w:r>
              <w:t>6 September 2021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3F5F141D" w14:textId="1648EF83" w:rsidR="00A8020F" w:rsidRPr="000B2A3D" w:rsidRDefault="00A8020F" w:rsidP="00E15B16">
            <w:r w:rsidRPr="00A8020F">
              <w:t>PSA  v Bramhall [2021] EWHC 2109 (Admin)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D9363A5" w14:textId="0DD0D8AA" w:rsidR="00A8020F" w:rsidRPr="007C6A5C" w:rsidRDefault="00FB12D5" w:rsidP="007C6A5C">
            <w:pPr>
              <w:pStyle w:val="ListParagraph"/>
              <w:numPr>
                <w:ilvl w:val="0"/>
                <w:numId w:val="49"/>
              </w:numPr>
              <w:rPr>
                <w:b/>
                <w:bCs/>
              </w:rPr>
            </w:pPr>
            <w:r w:rsidRPr="007C6A5C">
              <w:rPr>
                <w:b/>
                <w:bCs/>
              </w:rPr>
              <w:t>Departure from the Sanctions Guidance &amp; provision of reasons</w:t>
            </w:r>
            <w:r w:rsidR="0039466E" w:rsidRPr="007C6A5C">
              <w:rPr>
                <w:b/>
                <w:bCs/>
              </w:rPr>
              <w:t xml:space="preserve">; assessing gravity of conduct </w:t>
            </w:r>
            <w:r w:rsidR="0039466E" w:rsidRPr="007C6A5C">
              <w:rPr>
                <w:b/>
                <w:bCs/>
              </w:rPr>
              <w:lastRenderedPageBreak/>
              <w:t>&amp; in conviction cases;</w:t>
            </w:r>
            <w:r w:rsidR="007C6A5C">
              <w:rPr>
                <w:b/>
                <w:bCs/>
              </w:rPr>
              <w:t xml:space="preserve"> </w:t>
            </w:r>
            <w:r w:rsidR="0039466E" w:rsidRPr="007C6A5C">
              <w:rPr>
                <w:b/>
                <w:bCs/>
              </w:rPr>
              <w:t xml:space="preserve">Motivation goes to gravity </w:t>
            </w:r>
            <w:r w:rsidR="007C6A5C">
              <w:rPr>
                <w:b/>
                <w:bCs/>
              </w:rPr>
              <w:t xml:space="preserve">&amp; </w:t>
            </w:r>
            <w:r w:rsidR="0039466E" w:rsidRPr="007C6A5C">
              <w:rPr>
                <w:b/>
                <w:bCs/>
              </w:rPr>
              <w:t>is relevant to c</w:t>
            </w:r>
            <w:r w:rsidR="002C306C">
              <w:rPr>
                <w:b/>
                <w:bCs/>
              </w:rPr>
              <w:t>and</w:t>
            </w:r>
            <w:r w:rsidR="0039466E" w:rsidRPr="007C6A5C">
              <w:rPr>
                <w:b/>
                <w:bCs/>
              </w:rPr>
              <w:t>our, insight &amp; remediation &amp; sanction</w:t>
            </w:r>
          </w:p>
        </w:tc>
      </w:tr>
      <w:tr w:rsidR="001522D9" w:rsidRPr="00E15B16" w14:paraId="5BE34B07" w14:textId="77777777" w:rsidTr="00C90FE8">
        <w:trPr>
          <w:trHeight w:val="360"/>
        </w:trPr>
        <w:tc>
          <w:tcPr>
            <w:tcW w:w="1188" w:type="dxa"/>
            <w:shd w:val="clear" w:color="auto" w:fill="auto"/>
            <w:vAlign w:val="center"/>
          </w:tcPr>
          <w:p w14:paraId="193D07E3" w14:textId="43EAC53D" w:rsidR="009B0E38" w:rsidRDefault="009B0E38" w:rsidP="00E15B16">
            <w:r>
              <w:lastRenderedPageBreak/>
              <w:t xml:space="preserve">A11 21 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5644629" w14:textId="41EC02C9" w:rsidR="009B0E38" w:rsidRDefault="009B0E38" w:rsidP="00E15B16">
            <w:r>
              <w:t xml:space="preserve">16 September 2021 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02E483AA" w14:textId="179A7D5A" w:rsidR="009B0E38" w:rsidRPr="00A8020F" w:rsidRDefault="009B0E38" w:rsidP="00E15B16">
            <w:r w:rsidRPr="009B0E38">
              <w:t>Ramaswamy v  GMC 2021 EWHC 1619 (Admin) - circular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139BD266" w14:textId="73A0D520" w:rsidR="009B0E38" w:rsidRPr="007C6A5C" w:rsidRDefault="0039466E" w:rsidP="007C6A5C">
            <w:pPr>
              <w:pStyle w:val="ListParagraph"/>
              <w:numPr>
                <w:ilvl w:val="0"/>
                <w:numId w:val="49"/>
              </w:numPr>
              <w:rPr>
                <w:b/>
                <w:bCs/>
              </w:rPr>
            </w:pPr>
            <w:r w:rsidRPr="007C6A5C">
              <w:rPr>
                <w:b/>
                <w:bCs/>
              </w:rPr>
              <w:t xml:space="preserve">Adjournment/postponement applications; </w:t>
            </w:r>
            <w:r w:rsidR="007C6A5C">
              <w:rPr>
                <w:b/>
                <w:bCs/>
              </w:rPr>
              <w:t xml:space="preserve">approach to the </w:t>
            </w:r>
            <w:r w:rsidRPr="007C6A5C">
              <w:rPr>
                <w:b/>
                <w:bCs/>
              </w:rPr>
              <w:t>consideration of non-compliance</w:t>
            </w:r>
          </w:p>
        </w:tc>
      </w:tr>
    </w:tbl>
    <w:p w14:paraId="65F1FEBA" w14:textId="77777777" w:rsidR="00E15B16" w:rsidRDefault="00E15B16" w:rsidP="00E0705E"/>
    <w:p w14:paraId="0FC6172A" w14:textId="77777777" w:rsidR="00E0705E" w:rsidRPr="00E0705E" w:rsidRDefault="00E0705E" w:rsidP="00E0705E"/>
    <w:sectPr w:rsidR="00E0705E" w:rsidRPr="00E0705E" w:rsidSect="00E0705E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  <w:numRestart w:val="eachPage"/>
      </w:footnotePr>
      <w:endnotePr>
        <w:numFmt w:val="decimal"/>
      </w:endnotePr>
      <w:pgSz w:w="11907" w:h="16840" w:code="9"/>
      <w:pgMar w:top="709" w:right="1842" w:bottom="1418" w:left="1843" w:header="284" w:footer="36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21064" w14:textId="77777777" w:rsidR="00DE7261" w:rsidRDefault="00DE7261" w:rsidP="000242ED"/>
  </w:endnote>
  <w:endnote w:type="continuationSeparator" w:id="0">
    <w:p w14:paraId="6DA9393C" w14:textId="77777777" w:rsidR="00DE7261" w:rsidRDefault="00DE7261" w:rsidP="000242ED"/>
  </w:endnote>
  <w:endnote w:type="continuationNotice" w:id="1">
    <w:p w14:paraId="45BC583B" w14:textId="77777777" w:rsidR="00DE7261" w:rsidRDefault="00DE7261" w:rsidP="000242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EA1B" w14:textId="77777777" w:rsidR="0032526B" w:rsidRDefault="0032526B" w:rsidP="000242ED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A2B72B" w14:textId="77777777" w:rsidR="0032526B" w:rsidRDefault="0032526B" w:rsidP="0002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65CF4" w14:textId="77777777" w:rsidR="003259F7" w:rsidRPr="00FE79F2" w:rsidRDefault="003259F7" w:rsidP="003259F7">
    <w:pPr>
      <w:pStyle w:val="Footer"/>
      <w:tabs>
        <w:tab w:val="left" w:pos="2899"/>
        <w:tab w:val="right" w:pos="8080"/>
      </w:tabs>
      <w:rPr>
        <w:rFonts w:asciiTheme="minorHAnsi" w:hAnsiTheme="minorHAnsi"/>
        <w:sz w:val="20"/>
      </w:rPr>
    </w:pPr>
    <w:r w:rsidRPr="004C5342">
      <w:rPr>
        <w:rFonts w:asciiTheme="minorHAnsi" w:hAnsiTheme="minorHAnsi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89178E" wp14:editId="52597455">
              <wp:simplePos x="0" y="0"/>
              <wp:positionH relativeFrom="page">
                <wp:posOffset>1151890</wp:posOffset>
              </wp:positionH>
              <wp:positionV relativeFrom="page">
                <wp:posOffset>9838851</wp:posOffset>
              </wp:positionV>
              <wp:extent cx="5201285" cy="0"/>
              <wp:effectExtent l="0" t="0" r="18415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01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C7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5E9910" id="Straight Connector 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7pt,774.7pt" to="500.2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" strokecolor="#80c7bc" strokeweight="1pt">
              <w10:wrap anchorx="page" anchory="page"/>
            </v:line>
          </w:pict>
        </mc:Fallback>
      </mc:AlternateContent>
    </w:r>
    <w:r w:rsidRPr="004C5342">
      <w:rPr>
        <w:rFonts w:asciiTheme="minorHAnsi" w:hAnsiTheme="minorHAnsi"/>
        <w:sz w:val="20"/>
      </w:rPr>
      <w:tab/>
    </w:r>
    <w:r w:rsidRPr="004C5342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 xml:space="preserve">     </w:t>
    </w:r>
    <w:r>
      <w:rPr>
        <w:rFonts w:asciiTheme="minorHAnsi" w:hAnsiTheme="minorHAnsi"/>
        <w:sz w:val="20"/>
      </w:rPr>
      <w:tab/>
    </w:r>
  </w:p>
  <w:p w14:paraId="2048BEA8" w14:textId="77777777" w:rsidR="003259F7" w:rsidRPr="00FE79F2" w:rsidRDefault="00E0705E" w:rsidP="00E0705E">
    <w:pPr>
      <w:pStyle w:val="Footer"/>
      <w:tabs>
        <w:tab w:val="clear" w:pos="4320"/>
        <w:tab w:val="clear" w:pos="8640"/>
        <w:tab w:val="right" w:pos="8080"/>
      </w:tabs>
    </w:pPr>
    <w:r w:rsidRPr="004C5342">
      <w:rPr>
        <w:rFonts w:asciiTheme="minorHAnsi" w:hAnsiTheme="minorHAnsi"/>
        <w:sz w:val="20"/>
      </w:rPr>
      <w:t>www.mpts-uk.org</w:t>
    </w:r>
    <w:r>
      <w:rPr>
        <w:rFonts w:asciiTheme="minorHAnsi" w:hAnsiTheme="minorHAnsi"/>
        <w:sz w:val="20"/>
      </w:rPr>
      <w:tab/>
    </w:r>
    <w:r w:rsidRPr="00284835">
      <w:rPr>
        <w:rFonts w:asciiTheme="minorHAnsi" w:hAnsiTheme="minorHAnsi"/>
        <w:b/>
        <w:sz w:val="20"/>
      </w:rPr>
      <w:fldChar w:fldCharType="begin"/>
    </w:r>
    <w:r w:rsidRPr="00284835">
      <w:rPr>
        <w:rFonts w:asciiTheme="minorHAnsi" w:hAnsiTheme="minorHAnsi"/>
        <w:b/>
        <w:sz w:val="20"/>
      </w:rPr>
      <w:instrText xml:space="preserve"> PAGE   \* MERGEFORMAT </w:instrText>
    </w:r>
    <w:r w:rsidRPr="00284835">
      <w:rPr>
        <w:rFonts w:asciiTheme="minorHAnsi" w:hAnsiTheme="minorHAnsi"/>
        <w:b/>
        <w:sz w:val="20"/>
      </w:rPr>
      <w:fldChar w:fldCharType="separate"/>
    </w:r>
    <w:r w:rsidR="00776BA4">
      <w:rPr>
        <w:rFonts w:asciiTheme="minorHAnsi" w:hAnsiTheme="minorHAnsi"/>
        <w:b/>
        <w:noProof/>
        <w:sz w:val="20"/>
      </w:rPr>
      <w:t>3</w:t>
    </w:r>
    <w:r w:rsidRPr="00284835">
      <w:rPr>
        <w:rFonts w:asciiTheme="minorHAnsi" w:hAnsiTheme="minorHAnsi"/>
        <w:b/>
        <w:noProof/>
        <w:sz w:val="20"/>
      </w:rPr>
      <w:fldChar w:fldCharType="end"/>
    </w:r>
  </w:p>
  <w:p w14:paraId="21C6E77C" w14:textId="77777777" w:rsidR="0032526B" w:rsidRPr="003259F7" w:rsidRDefault="0032526B" w:rsidP="00325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FBCA0" w14:textId="77777777" w:rsidR="00FE79F2" w:rsidRPr="00FE79F2" w:rsidRDefault="00284835" w:rsidP="00284835">
    <w:pPr>
      <w:pStyle w:val="Footer"/>
      <w:tabs>
        <w:tab w:val="left" w:pos="2899"/>
        <w:tab w:val="right" w:pos="8080"/>
      </w:tabs>
      <w:rPr>
        <w:rFonts w:asciiTheme="minorHAnsi" w:hAnsiTheme="minorHAnsi"/>
        <w:sz w:val="20"/>
      </w:rPr>
    </w:pPr>
    <w:r w:rsidRPr="004C5342">
      <w:rPr>
        <w:rFonts w:asciiTheme="minorHAnsi" w:hAnsiTheme="minorHAnsi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0C6FBD5" wp14:editId="0CB7E2D7">
              <wp:simplePos x="0" y="0"/>
              <wp:positionH relativeFrom="page">
                <wp:posOffset>1151890</wp:posOffset>
              </wp:positionH>
              <wp:positionV relativeFrom="page">
                <wp:posOffset>9838851</wp:posOffset>
              </wp:positionV>
              <wp:extent cx="5201285" cy="0"/>
              <wp:effectExtent l="0" t="0" r="18415" b="1905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2012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0C7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B4A21" id="Straight Connector 12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7pt,774.7pt" to="500.25pt,7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" strokecolor="#80c7bc" strokeweight="1pt">
              <w10:wrap anchorx="page" anchory="page"/>
            </v:line>
          </w:pict>
        </mc:Fallback>
      </mc:AlternateContent>
    </w:r>
    <w:r w:rsidR="00FE79F2" w:rsidRPr="004C5342">
      <w:rPr>
        <w:rFonts w:asciiTheme="minorHAnsi" w:hAnsiTheme="minorHAnsi"/>
        <w:sz w:val="20"/>
      </w:rPr>
      <w:t>www.mpts-uk.org</w:t>
    </w:r>
    <w:r w:rsidR="00FE79F2" w:rsidRPr="004C5342">
      <w:rPr>
        <w:rFonts w:asciiTheme="minorHAnsi" w:hAnsiTheme="minorHAnsi"/>
        <w:sz w:val="20"/>
      </w:rPr>
      <w:tab/>
    </w:r>
    <w:r w:rsidR="00FE79F2" w:rsidRPr="004C5342">
      <w:rPr>
        <w:rFonts w:asciiTheme="minorHAnsi" w:hAnsiTheme="minorHAnsi"/>
        <w:sz w:val="20"/>
      </w:rPr>
      <w:tab/>
    </w:r>
    <w:r w:rsidR="00FE79F2">
      <w:rPr>
        <w:rFonts w:asciiTheme="minorHAnsi" w:hAnsiTheme="minorHAnsi"/>
        <w:sz w:val="20"/>
      </w:rPr>
      <w:t xml:space="preserve">     </w:t>
    </w:r>
    <w:r w:rsidR="00FE79F2">
      <w:rPr>
        <w:rFonts w:asciiTheme="minorHAnsi" w:hAnsiTheme="minorHAnsi"/>
        <w:sz w:val="20"/>
      </w:rPr>
      <w:tab/>
    </w:r>
    <w:r w:rsidR="00FE79F2" w:rsidRPr="00284835">
      <w:rPr>
        <w:rFonts w:asciiTheme="minorHAnsi" w:hAnsiTheme="minorHAnsi"/>
        <w:b/>
        <w:sz w:val="20"/>
      </w:rPr>
      <w:fldChar w:fldCharType="begin"/>
    </w:r>
    <w:r w:rsidR="00FE79F2" w:rsidRPr="00284835">
      <w:rPr>
        <w:rFonts w:asciiTheme="minorHAnsi" w:hAnsiTheme="minorHAnsi"/>
        <w:b/>
        <w:sz w:val="20"/>
      </w:rPr>
      <w:instrText xml:space="preserve"> PAGE   \* MERGEFORMAT </w:instrText>
    </w:r>
    <w:r w:rsidR="00FE79F2" w:rsidRPr="00284835">
      <w:rPr>
        <w:rFonts w:asciiTheme="minorHAnsi" w:hAnsiTheme="minorHAnsi"/>
        <w:b/>
        <w:sz w:val="20"/>
      </w:rPr>
      <w:fldChar w:fldCharType="separate"/>
    </w:r>
    <w:r w:rsidR="00776BA4">
      <w:rPr>
        <w:rFonts w:asciiTheme="minorHAnsi" w:hAnsiTheme="minorHAnsi"/>
        <w:b/>
        <w:noProof/>
        <w:sz w:val="20"/>
      </w:rPr>
      <w:t>1</w:t>
    </w:r>
    <w:r w:rsidR="00FE79F2" w:rsidRPr="00284835">
      <w:rPr>
        <w:rFonts w:asciiTheme="minorHAnsi" w:hAnsiTheme="minorHAnsi"/>
        <w:b/>
        <w:noProof/>
        <w:sz w:val="20"/>
      </w:rPr>
      <w:fldChar w:fldCharType="end"/>
    </w:r>
  </w:p>
  <w:p w14:paraId="0F543925" w14:textId="77777777" w:rsidR="0032526B" w:rsidRPr="00FE79F2" w:rsidRDefault="0032526B" w:rsidP="00FE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FB36" w14:textId="77777777" w:rsidR="00DE7261" w:rsidRDefault="00DE7261" w:rsidP="000242ED"/>
  </w:footnote>
  <w:footnote w:type="continuationSeparator" w:id="0">
    <w:p w14:paraId="0FF447E3" w14:textId="77777777" w:rsidR="00DE7261" w:rsidRDefault="00DE7261" w:rsidP="000242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EE386" w14:textId="77777777" w:rsidR="0032526B" w:rsidRDefault="00DE05DB" w:rsidP="000242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2576" behindDoc="0" locked="0" layoutInCell="1" allowOverlap="1" wp14:anchorId="4CD0C13C" wp14:editId="7F920B43">
          <wp:simplePos x="0" y="0"/>
          <wp:positionH relativeFrom="column">
            <wp:posOffset>-565785</wp:posOffset>
          </wp:positionH>
          <wp:positionV relativeFrom="page">
            <wp:posOffset>1022571</wp:posOffset>
          </wp:positionV>
          <wp:extent cx="3095625" cy="402590"/>
          <wp:effectExtent l="0" t="0" r="952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TS log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402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A0A1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6EDE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2"/>
    <w:multiLevelType w:val="singleLevel"/>
    <w:tmpl w:val="70D88D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22C65B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85AF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4E36A79"/>
    <w:multiLevelType w:val="multilevel"/>
    <w:tmpl w:val="B04269FC"/>
    <w:lvl w:ilvl="0">
      <w:start w:val="1"/>
      <w:numFmt w:val="lowerLetter"/>
      <w:lvlRestart w:val="0"/>
      <w:pStyle w:val="MPTS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cs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007268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007268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007268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6" w15:restartNumberingAfterBreak="0">
    <w:nsid w:val="1D8E083D"/>
    <w:multiLevelType w:val="hybridMultilevel"/>
    <w:tmpl w:val="65D05D60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17365D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7FDB"/>
    <w:multiLevelType w:val="hybridMultilevel"/>
    <w:tmpl w:val="47E21E56"/>
    <w:lvl w:ilvl="0" w:tplc="743E11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2C15"/>
    <w:multiLevelType w:val="hybridMultilevel"/>
    <w:tmpl w:val="81121A44"/>
    <w:lvl w:ilvl="0" w:tplc="743E11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45938"/>
    <w:multiLevelType w:val="multilevel"/>
    <w:tmpl w:val="453A45AA"/>
    <w:lvl w:ilvl="0">
      <w:start w:val="1"/>
      <w:numFmt w:val="lowerLetter"/>
      <w:lvlRestart w:val="0"/>
      <w:pStyle w:val="GMCA-Ztext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2F9F9F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2F9F9F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2F9F9F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10" w15:restartNumberingAfterBreak="0">
    <w:nsid w:val="4ADC1090"/>
    <w:multiLevelType w:val="hybridMultilevel"/>
    <w:tmpl w:val="0916DE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7F582C"/>
    <w:multiLevelType w:val="multilevel"/>
    <w:tmpl w:val="8BF8196A"/>
    <w:lvl w:ilvl="0">
      <w:start w:val="1"/>
      <w:numFmt w:val="decimal"/>
      <w:pStyle w:val="MPTSNumbertext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ahoma" w:hAnsi="Tahom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1728" w:hanging="648"/>
      </w:pPr>
      <w:rPr>
        <w:rFonts w:ascii="Tahoma" w:hAnsi="Tahoma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2232" w:hanging="792"/>
      </w:pPr>
      <w:rPr>
        <w:rFonts w:ascii="Tahoma" w:hAnsi="Tahoma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2736" w:hanging="936"/>
      </w:pPr>
      <w:rPr>
        <w:rFonts w:ascii="Tahoma" w:hAnsi="Tahoma" w:hint="default"/>
        <w:b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3240" w:hanging="1080"/>
      </w:pPr>
      <w:rPr>
        <w:rFonts w:ascii="Tahoma" w:hAnsi="Tahoma" w:hint="default"/>
        <w:b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3744" w:hanging="1224"/>
      </w:pPr>
      <w:rPr>
        <w:rFonts w:ascii="Tahoma" w:hAnsi="Tahoma" w:hint="default"/>
        <w:b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4320" w:hanging="1440"/>
      </w:pPr>
      <w:rPr>
        <w:rFonts w:ascii="Tahoma" w:hAnsi="Tahoma" w:hint="default"/>
        <w:b/>
        <w:i w:val="0"/>
        <w:sz w:val="24"/>
      </w:rPr>
    </w:lvl>
  </w:abstractNum>
  <w:abstractNum w:abstractNumId="12" w15:restartNumberingAfterBreak="0">
    <w:nsid w:val="4F0F32F9"/>
    <w:multiLevelType w:val="multilevel"/>
    <w:tmpl w:val="349CB0F0"/>
    <w:lvl w:ilvl="0">
      <w:start w:val="1"/>
      <w:numFmt w:val="bullet"/>
      <w:pStyle w:val="ListBullet"/>
      <w:lvlText w:val=""/>
      <w:lvlJc w:val="left"/>
      <w:pPr>
        <w:tabs>
          <w:tab w:val="num" w:pos="510"/>
        </w:tabs>
        <w:ind w:left="284" w:hanging="284"/>
      </w:pPr>
      <w:rPr>
        <w:rFonts w:ascii="Wingdings 3" w:hAnsi="Wingdings 3" w:hint="default"/>
        <w:b/>
        <w:i w:val="0"/>
        <w:color w:val="006E63"/>
        <w:sz w:val="18"/>
      </w:rPr>
    </w:lvl>
    <w:lvl w:ilvl="1">
      <w:start w:val="1"/>
      <w:numFmt w:val="bullet"/>
      <w:pStyle w:val="ListBullet2"/>
      <w:lvlText w:val=""/>
      <w:lvlJc w:val="left"/>
      <w:pPr>
        <w:tabs>
          <w:tab w:val="num" w:pos="794"/>
        </w:tabs>
        <w:ind w:left="568" w:hanging="284"/>
      </w:pPr>
      <w:rPr>
        <w:rFonts w:ascii="Wingdings 3" w:hAnsi="Wingdings 3" w:hint="default"/>
        <w:b/>
        <w:i w:val="0"/>
        <w:color w:val="80C7BC"/>
        <w:sz w:val="18"/>
      </w:rPr>
    </w:lvl>
    <w:lvl w:ilvl="2">
      <w:start w:val="1"/>
      <w:numFmt w:val="bullet"/>
      <w:pStyle w:val="ListBullet3"/>
      <w:lvlText w:val=""/>
      <w:lvlJc w:val="left"/>
      <w:pPr>
        <w:tabs>
          <w:tab w:val="num" w:pos="1078"/>
        </w:tabs>
        <w:ind w:left="852" w:hanging="284"/>
      </w:pPr>
      <w:rPr>
        <w:rFonts w:ascii="Wingdings 3" w:hAnsi="Wingdings 3" w:hint="default"/>
        <w:b/>
        <w:i w:val="0"/>
        <w:color w:val="FFCC68"/>
        <w:sz w:val="18"/>
      </w:rPr>
    </w:lvl>
    <w:lvl w:ilvl="3">
      <w:start w:val="1"/>
      <w:numFmt w:val="bullet"/>
      <w:pStyle w:val="ListBullet4"/>
      <w:lvlText w:val=""/>
      <w:lvlJc w:val="left"/>
      <w:pPr>
        <w:tabs>
          <w:tab w:val="num" w:pos="1362"/>
        </w:tabs>
        <w:ind w:left="1136" w:hanging="284"/>
      </w:pPr>
      <w:rPr>
        <w:rFonts w:ascii="Wingdings 3" w:hAnsi="Wingdings 3" w:hint="default"/>
        <w:b/>
        <w:i w:val="0"/>
        <w:color w:val="FFE6B3"/>
        <w:sz w:val="18"/>
      </w:rPr>
    </w:lvl>
    <w:lvl w:ilvl="4">
      <w:start w:val="1"/>
      <w:numFmt w:val="bullet"/>
      <w:pStyle w:val="ListBullet5"/>
      <w:lvlText w:val=""/>
      <w:lvlJc w:val="left"/>
      <w:pPr>
        <w:tabs>
          <w:tab w:val="num" w:pos="1646"/>
        </w:tabs>
        <w:ind w:left="1420" w:hanging="284"/>
      </w:pPr>
      <w:rPr>
        <w:rFonts w:ascii="Wingdings" w:hAnsi="Wingdings" w:hint="default"/>
        <w:b/>
        <w:i w:val="0"/>
        <w:color w:val="007268"/>
        <w:sz w:val="18"/>
      </w:rPr>
    </w:lvl>
    <w:lvl w:ilvl="5">
      <w:start w:val="1"/>
      <w:numFmt w:val="none"/>
      <w:lvlText w:val="%1.%2.%3.%4.%5.%6."/>
      <w:lvlJc w:val="left"/>
      <w:pPr>
        <w:tabs>
          <w:tab w:val="num" w:pos="1930"/>
        </w:tabs>
        <w:ind w:left="1704" w:hanging="284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2214"/>
        </w:tabs>
        <w:ind w:left="1988" w:hanging="284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2498"/>
        </w:tabs>
        <w:ind w:left="2272" w:hanging="284"/>
      </w:pPr>
      <w:rPr>
        <w:rFonts w:hint="default"/>
      </w:rPr>
    </w:lvl>
    <w:lvl w:ilvl="8">
      <w:start w:val="1"/>
      <w:numFmt w:val="none"/>
      <w:lvlText w:val="%1.%2.%3.%4.%5.%6.%7.%8.%9."/>
      <w:lvlJc w:val="left"/>
      <w:pPr>
        <w:tabs>
          <w:tab w:val="num" w:pos="2782"/>
        </w:tabs>
        <w:ind w:left="2556" w:hanging="284"/>
      </w:pPr>
      <w:rPr>
        <w:rFonts w:hint="default"/>
      </w:rPr>
    </w:lvl>
  </w:abstractNum>
  <w:abstractNum w:abstractNumId="13" w15:restartNumberingAfterBreak="0">
    <w:nsid w:val="55295B5D"/>
    <w:multiLevelType w:val="multilevel"/>
    <w:tmpl w:val="8BC20AA2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Tahoma" w:hAnsi="Tahoma" w:hint="default"/>
        <w:b/>
        <w:i w:val="0"/>
        <w:sz w:val="24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82C5BB"/>
        <w:sz w:val="24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04"/>
        </w:tabs>
        <w:ind w:left="1304" w:hanging="454"/>
      </w:pPr>
      <w:rPr>
        <w:rFonts w:ascii="Tahoma" w:hAnsi="Tahoma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081"/>
        </w:tabs>
        <w:ind w:left="1361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1"/>
        </w:tabs>
        <w:ind w:left="1361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081"/>
        </w:tabs>
        <w:ind w:left="1361" w:firstLine="0"/>
      </w:pPr>
      <w:rPr>
        <w:rFonts w:hint="default"/>
      </w:rPr>
    </w:lvl>
  </w:abstractNum>
  <w:abstractNum w:abstractNumId="14" w15:restartNumberingAfterBreak="0">
    <w:nsid w:val="5F5E69E3"/>
    <w:multiLevelType w:val="hybridMultilevel"/>
    <w:tmpl w:val="FCF4D094"/>
    <w:lvl w:ilvl="0" w:tplc="FFFFFFFF">
      <w:start w:val="1"/>
      <w:numFmt w:val="bullet"/>
      <w:lvlText w:val=""/>
      <w:lvlJc w:val="left"/>
      <w:pPr>
        <w:tabs>
          <w:tab w:val="num" w:pos="284"/>
        </w:tabs>
        <w:ind w:left="227" w:hanging="227"/>
      </w:pPr>
      <w:rPr>
        <w:rFonts w:ascii="Wingdings" w:hAnsi="Wingdings" w:hint="default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85669"/>
    <w:multiLevelType w:val="multilevel"/>
    <w:tmpl w:val="FAE6DDE8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4464A"/>
    <w:multiLevelType w:val="hybridMultilevel"/>
    <w:tmpl w:val="23664554"/>
    <w:lvl w:ilvl="0" w:tplc="743E11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860E1"/>
    <w:multiLevelType w:val="hybridMultilevel"/>
    <w:tmpl w:val="DCD2E672"/>
    <w:lvl w:ilvl="0" w:tplc="743E1144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  <w:color w:val="006E6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7565E"/>
    <w:multiLevelType w:val="multilevel"/>
    <w:tmpl w:val="453A45AA"/>
    <w:lvl w:ilvl="0">
      <w:start w:val="1"/>
      <w:numFmt w:val="lowerLetter"/>
      <w:lvlRestart w:val="0"/>
      <w:lvlText w:val="%1"/>
      <w:lvlJc w:val="left"/>
      <w:pPr>
        <w:tabs>
          <w:tab w:val="num" w:pos="850"/>
        </w:tabs>
        <w:ind w:left="850" w:hanging="340"/>
      </w:pPr>
      <w:rPr>
        <w:rFonts w:ascii="Tahoma" w:hAnsi="Tahoma" w:hint="default"/>
        <w:b/>
        <w:i w:val="0"/>
        <w:color w:val="007268"/>
        <w:sz w:val="24"/>
        <w:u w:val="none"/>
      </w:rPr>
    </w:lvl>
    <w:lvl w:ilvl="1">
      <w:start w:val="1"/>
      <w:numFmt w:val="lowerLetter"/>
      <w:lvlText w:val="%2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  <w:color w:val="2F9F9F"/>
        <w:sz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1797" w:hanging="357"/>
      </w:pPr>
      <w:rPr>
        <w:rFonts w:hint="default"/>
        <w:b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2160"/>
        </w:tabs>
        <w:ind w:left="2160" w:hanging="363"/>
      </w:pPr>
      <w:rPr>
        <w:rFonts w:hint="default"/>
        <w:b/>
        <w:i w:val="0"/>
        <w:sz w:val="24"/>
      </w:rPr>
    </w:lvl>
    <w:lvl w:ilvl="4">
      <w:start w:val="1"/>
      <w:numFmt w:val="lowerLetter"/>
      <w:lvlText w:val="%5"/>
      <w:lvlJc w:val="left"/>
      <w:pPr>
        <w:tabs>
          <w:tab w:val="num" w:pos="2517"/>
        </w:tabs>
        <w:ind w:left="2517" w:hanging="357"/>
      </w:pPr>
      <w:rPr>
        <w:rFonts w:hint="default"/>
        <w:b/>
        <w:i w:val="0"/>
        <w:color w:val="2F9F9F"/>
        <w:sz w:val="24"/>
      </w:rPr>
    </w:lvl>
    <w:lvl w:ilvl="5">
      <w:start w:val="1"/>
      <w:numFmt w:val="lowerRoman"/>
      <w:lvlText w:val="%6"/>
      <w:lvlJc w:val="left"/>
      <w:pPr>
        <w:tabs>
          <w:tab w:val="num" w:pos="3237"/>
        </w:tabs>
        <w:ind w:left="2880" w:hanging="363"/>
      </w:pPr>
      <w:rPr>
        <w:rFonts w:hint="default"/>
        <w:b/>
        <w:i w:val="0"/>
        <w:sz w:val="24"/>
      </w:rPr>
    </w:lvl>
    <w:lvl w:ilvl="6">
      <w:start w:val="1"/>
      <w:numFmt w:val="decimal"/>
      <w:lvlText w:val="%7"/>
      <w:lvlJc w:val="left"/>
      <w:pPr>
        <w:tabs>
          <w:tab w:val="num" w:pos="3237"/>
        </w:tabs>
        <w:ind w:left="3237" w:hanging="357"/>
      </w:pPr>
      <w:rPr>
        <w:rFonts w:hint="default"/>
        <w:b/>
        <w:i w:val="0"/>
        <w:sz w:val="24"/>
      </w:rPr>
    </w:lvl>
    <w:lvl w:ilvl="7">
      <w:start w:val="1"/>
      <w:numFmt w:val="lowerLetter"/>
      <w:lvlText w:val="%8"/>
      <w:lvlJc w:val="left"/>
      <w:pPr>
        <w:tabs>
          <w:tab w:val="num" w:pos="3600"/>
        </w:tabs>
        <w:ind w:left="3600" w:hanging="363"/>
      </w:pPr>
      <w:rPr>
        <w:rFonts w:hint="default"/>
        <w:b/>
        <w:i w:val="0"/>
        <w:color w:val="2F9F9F"/>
        <w:sz w:val="24"/>
      </w:rPr>
    </w:lvl>
    <w:lvl w:ilvl="8">
      <w:start w:val="1"/>
      <w:numFmt w:val="lowerRoman"/>
      <w:lvlText w:val="%9"/>
      <w:lvlJc w:val="left"/>
      <w:pPr>
        <w:tabs>
          <w:tab w:val="num" w:pos="4320"/>
        </w:tabs>
        <w:ind w:left="3957" w:hanging="357"/>
      </w:pPr>
      <w:rPr>
        <w:rFonts w:hint="default"/>
        <w:b/>
        <w:i w:val="0"/>
        <w:sz w:val="24"/>
      </w:rPr>
    </w:lvl>
  </w:abstractNum>
  <w:abstractNum w:abstractNumId="19" w15:restartNumberingAfterBreak="0">
    <w:nsid w:val="79A9283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A2118D8"/>
    <w:multiLevelType w:val="multilevel"/>
    <w:tmpl w:val="7F0C6A68"/>
    <w:lvl w:ilvl="0">
      <w:start w:val="1"/>
      <w:numFmt w:val="lowerRoman"/>
      <w:lvlRestart w:val="0"/>
      <w:pStyle w:val="MPTSRomantext"/>
      <w:lvlText w:val="%1"/>
      <w:lvlJc w:val="left"/>
      <w:pPr>
        <w:tabs>
          <w:tab w:val="num" w:pos="1304"/>
        </w:tabs>
        <w:ind w:left="1304" w:hanging="454"/>
      </w:pPr>
      <w:rPr>
        <w:rFonts w:ascii="Tahoma" w:hAnsi="Tahoma" w:cs="Tahoma"/>
        <w:b/>
        <w:color w:val="000000"/>
        <w:sz w:val="24"/>
        <w:u w:val="none"/>
      </w:rPr>
    </w:lvl>
    <w:lvl w:ilvl="1">
      <w:start w:val="1"/>
      <w:numFmt w:val="lowerRoman"/>
      <w:lvlText w:val="%1.%2"/>
      <w:lvlJc w:val="left"/>
      <w:pPr>
        <w:tabs>
          <w:tab w:val="num" w:pos="1077"/>
        </w:tabs>
        <w:ind w:left="1077" w:hanging="431"/>
      </w:pPr>
      <w:rPr>
        <w:rFonts w:ascii="Tahoma" w:hAnsi="Tahoma" w:cs="Tahoma"/>
        <w:b/>
        <w:sz w:val="24"/>
      </w:rPr>
    </w:lvl>
    <w:lvl w:ilvl="2">
      <w:start w:val="1"/>
      <w:numFmt w:val="lowerRoman"/>
      <w:lvlText w:val="%1.%2.%3"/>
      <w:lvlJc w:val="left"/>
      <w:pPr>
        <w:tabs>
          <w:tab w:val="num" w:pos="1723"/>
        </w:tabs>
        <w:ind w:left="1508" w:hanging="505"/>
      </w:pPr>
      <w:rPr>
        <w:rFonts w:ascii="Tahoma" w:hAnsi="Tahoma" w:cs="Tahoma"/>
        <w:b/>
        <w:sz w:val="24"/>
      </w:rPr>
    </w:lvl>
    <w:lvl w:ilvl="3">
      <w:start w:val="1"/>
      <w:numFmt w:val="lowerRoman"/>
      <w:lvlText w:val="%1.%2.%3.%4"/>
      <w:lvlJc w:val="left"/>
      <w:pPr>
        <w:tabs>
          <w:tab w:val="num" w:pos="2806"/>
        </w:tabs>
        <w:ind w:left="2013" w:hanging="647"/>
      </w:pPr>
      <w:rPr>
        <w:rFonts w:ascii="Tahoma" w:hAnsi="Tahoma" w:cs="Tahoma"/>
        <w:b/>
        <w:sz w:val="24"/>
      </w:rPr>
    </w:lvl>
    <w:lvl w:ilvl="4">
      <w:start w:val="1"/>
      <w:numFmt w:val="lowerRoman"/>
      <w:lvlText w:val="%1.%2.%3.%4.%5"/>
      <w:lvlJc w:val="left"/>
      <w:pPr>
        <w:tabs>
          <w:tab w:val="num" w:pos="3526"/>
        </w:tabs>
        <w:ind w:left="2517" w:hanging="794"/>
      </w:pPr>
      <w:rPr>
        <w:rFonts w:ascii="Tahoma" w:hAnsi="Tahoma" w:cs="Tahoma"/>
        <w:b/>
        <w:sz w:val="24"/>
      </w:rPr>
    </w:lvl>
    <w:lvl w:ilvl="5">
      <w:start w:val="1"/>
      <w:numFmt w:val="lowerRoman"/>
      <w:lvlText w:val="%1.%2.%3.%4.%5.%6"/>
      <w:lvlJc w:val="left"/>
      <w:pPr>
        <w:tabs>
          <w:tab w:val="num" w:pos="4241"/>
        </w:tabs>
        <w:ind w:left="3022" w:hanging="936"/>
      </w:pPr>
      <w:rPr>
        <w:rFonts w:ascii="Tahoma" w:hAnsi="Tahoma" w:cs="Tahoma"/>
        <w:b/>
        <w:sz w:val="24"/>
      </w:rPr>
    </w:lvl>
    <w:lvl w:ilvl="6">
      <w:start w:val="1"/>
      <w:numFmt w:val="lowerRoman"/>
      <w:lvlText w:val="%1.%2.%3.%4.%5.%6.%7"/>
      <w:lvlJc w:val="left"/>
      <w:pPr>
        <w:tabs>
          <w:tab w:val="num" w:pos="4961"/>
        </w:tabs>
        <w:ind w:left="3526" w:hanging="1083"/>
      </w:pPr>
      <w:rPr>
        <w:rFonts w:ascii="Tahoma" w:hAnsi="Tahoma" w:cs="Tahoma"/>
        <w:b/>
        <w:sz w:val="24"/>
      </w:rPr>
    </w:lvl>
    <w:lvl w:ilvl="7">
      <w:start w:val="1"/>
      <w:numFmt w:val="lowerRoman"/>
      <w:lvlText w:val="%1.%2.%3.%4.%5.%6.%7.%8"/>
      <w:lvlJc w:val="left"/>
      <w:pPr>
        <w:tabs>
          <w:tab w:val="num" w:pos="5681"/>
        </w:tabs>
        <w:ind w:left="4025" w:hanging="1219"/>
      </w:pPr>
      <w:rPr>
        <w:rFonts w:ascii="Tahoma" w:hAnsi="Tahoma" w:cs="Tahoma"/>
        <w:b/>
        <w:sz w:val="24"/>
      </w:rPr>
    </w:lvl>
    <w:lvl w:ilvl="8">
      <w:start w:val="1"/>
      <w:numFmt w:val="lowerRoman"/>
      <w:lvlText w:val="%1.%2.%3.%4.%5.%6.%7.%8.%9"/>
      <w:lvlJc w:val="left"/>
      <w:pPr>
        <w:tabs>
          <w:tab w:val="num" w:pos="6401"/>
        </w:tabs>
        <w:ind w:left="4603" w:hanging="1440"/>
      </w:pPr>
      <w:rPr>
        <w:rFonts w:ascii="Tahoma" w:hAnsi="Tahoma" w:cs="Tahoma"/>
        <w:b/>
        <w:sz w:val="24"/>
      </w:rPr>
    </w:lvl>
  </w:abstractNum>
  <w:abstractNum w:abstractNumId="21" w15:restartNumberingAfterBreak="0">
    <w:nsid w:val="7C406CFD"/>
    <w:multiLevelType w:val="hybridMultilevel"/>
    <w:tmpl w:val="D0469098"/>
    <w:lvl w:ilvl="0" w:tplc="C756E822">
      <w:start w:val="1"/>
      <w:numFmt w:val="bullet"/>
      <w:pStyle w:val="MPTSNewBullet"/>
      <w:lvlText w:val=""/>
      <w:lvlJc w:val="left"/>
      <w:pPr>
        <w:ind w:left="360" w:hanging="360"/>
      </w:pPr>
      <w:rPr>
        <w:rFonts w:ascii="Wingdings 3" w:hAnsi="Wingdings 3" w:hint="default"/>
        <w:color w:val="006E63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6117094">
    <w:abstractNumId w:val="11"/>
  </w:num>
  <w:num w:numId="2" w16cid:durableId="1893229590">
    <w:abstractNumId w:val="5"/>
  </w:num>
  <w:num w:numId="3" w16cid:durableId="888422940">
    <w:abstractNumId w:val="11"/>
  </w:num>
  <w:num w:numId="4" w16cid:durableId="1056468928">
    <w:abstractNumId w:val="20"/>
  </w:num>
  <w:num w:numId="5" w16cid:durableId="1081610281">
    <w:abstractNumId w:val="12"/>
  </w:num>
  <w:num w:numId="6" w16cid:durableId="36318901">
    <w:abstractNumId w:val="13"/>
  </w:num>
  <w:num w:numId="7" w16cid:durableId="457604500">
    <w:abstractNumId w:val="5"/>
  </w:num>
  <w:num w:numId="8" w16cid:durableId="1462730694">
    <w:abstractNumId w:val="11"/>
  </w:num>
  <w:num w:numId="9" w16cid:durableId="330959437">
    <w:abstractNumId w:val="20"/>
  </w:num>
  <w:num w:numId="10" w16cid:durableId="834882472">
    <w:abstractNumId w:val="12"/>
  </w:num>
  <w:num w:numId="11" w16cid:durableId="1241140203">
    <w:abstractNumId w:val="12"/>
  </w:num>
  <w:num w:numId="12" w16cid:durableId="1362248410">
    <w:abstractNumId w:val="12"/>
  </w:num>
  <w:num w:numId="13" w16cid:durableId="846529000">
    <w:abstractNumId w:val="12"/>
  </w:num>
  <w:num w:numId="14" w16cid:durableId="1684284229">
    <w:abstractNumId w:val="12"/>
  </w:num>
  <w:num w:numId="15" w16cid:durableId="1253856097">
    <w:abstractNumId w:val="13"/>
  </w:num>
  <w:num w:numId="16" w16cid:durableId="1703244503">
    <w:abstractNumId w:val="13"/>
  </w:num>
  <w:num w:numId="17" w16cid:durableId="2054501063">
    <w:abstractNumId w:val="1"/>
  </w:num>
  <w:num w:numId="18" w16cid:durableId="2112889752">
    <w:abstractNumId w:val="0"/>
  </w:num>
  <w:num w:numId="19" w16cid:durableId="1104567753">
    <w:abstractNumId w:val="19"/>
  </w:num>
  <w:num w:numId="20" w16cid:durableId="1672946412">
    <w:abstractNumId w:val="10"/>
  </w:num>
  <w:num w:numId="21" w16cid:durableId="955137057">
    <w:abstractNumId w:val="6"/>
  </w:num>
  <w:num w:numId="22" w16cid:durableId="895552498">
    <w:abstractNumId w:val="15"/>
  </w:num>
  <w:num w:numId="23" w16cid:durableId="1152329546">
    <w:abstractNumId w:val="9"/>
  </w:num>
  <w:num w:numId="24" w16cid:durableId="81225968">
    <w:abstractNumId w:val="14"/>
  </w:num>
  <w:num w:numId="25" w16cid:durableId="2143300663">
    <w:abstractNumId w:val="18"/>
  </w:num>
  <w:num w:numId="26" w16cid:durableId="1216045832">
    <w:abstractNumId w:val="12"/>
  </w:num>
  <w:num w:numId="27" w16cid:durableId="27414674">
    <w:abstractNumId w:val="12"/>
  </w:num>
  <w:num w:numId="28" w16cid:durableId="528034978">
    <w:abstractNumId w:val="12"/>
  </w:num>
  <w:num w:numId="29" w16cid:durableId="68818032">
    <w:abstractNumId w:val="12"/>
  </w:num>
  <w:num w:numId="30" w16cid:durableId="184095882">
    <w:abstractNumId w:val="12"/>
  </w:num>
  <w:num w:numId="31" w16cid:durableId="1830442545">
    <w:abstractNumId w:val="9"/>
  </w:num>
  <w:num w:numId="32" w16cid:durableId="1912814390">
    <w:abstractNumId w:val="12"/>
  </w:num>
  <w:num w:numId="33" w16cid:durableId="1511019397">
    <w:abstractNumId w:val="12"/>
  </w:num>
  <w:num w:numId="34" w16cid:durableId="534928682">
    <w:abstractNumId w:val="12"/>
  </w:num>
  <w:num w:numId="35" w16cid:durableId="932663422">
    <w:abstractNumId w:val="12"/>
  </w:num>
  <w:num w:numId="36" w16cid:durableId="1113356869">
    <w:abstractNumId w:val="12"/>
  </w:num>
  <w:num w:numId="37" w16cid:durableId="82337450">
    <w:abstractNumId w:val="13"/>
  </w:num>
  <w:num w:numId="38" w16cid:durableId="81611096">
    <w:abstractNumId w:val="13"/>
  </w:num>
  <w:num w:numId="39" w16cid:durableId="1334992478">
    <w:abstractNumId w:val="5"/>
  </w:num>
  <w:num w:numId="40" w16cid:durableId="1459762574">
    <w:abstractNumId w:val="11"/>
  </w:num>
  <w:num w:numId="41" w16cid:durableId="1240362106">
    <w:abstractNumId w:val="20"/>
  </w:num>
  <w:num w:numId="42" w16cid:durableId="813641667">
    <w:abstractNumId w:val="21"/>
  </w:num>
  <w:num w:numId="43" w16cid:durableId="632449227">
    <w:abstractNumId w:val="4"/>
  </w:num>
  <w:num w:numId="44" w16cid:durableId="1930889439">
    <w:abstractNumId w:val="3"/>
  </w:num>
  <w:num w:numId="45" w16cid:durableId="2011906825">
    <w:abstractNumId w:val="2"/>
  </w:num>
  <w:num w:numId="46" w16cid:durableId="425033233">
    <w:abstractNumId w:val="7"/>
  </w:num>
  <w:num w:numId="47" w16cid:durableId="316955521">
    <w:abstractNumId w:val="8"/>
  </w:num>
  <w:num w:numId="48" w16cid:durableId="1643265220">
    <w:abstractNumId w:val="17"/>
  </w:num>
  <w:num w:numId="49" w16cid:durableId="1431852823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4097">
      <o:colormru v:ext="edit" colors="#3e5185,#60adb8"/>
    </o:shapedefaults>
  </w:hdrShapeDefaults>
  <w:footnotePr>
    <w:numFmt w:val="chicago"/>
    <w:numRestart w:val="eachPage"/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0F"/>
    <w:rsid w:val="000242ED"/>
    <w:rsid w:val="00025D44"/>
    <w:rsid w:val="0005476F"/>
    <w:rsid w:val="000A5377"/>
    <w:rsid w:val="000B2A3D"/>
    <w:rsid w:val="000D13A3"/>
    <w:rsid w:val="00125C11"/>
    <w:rsid w:val="001335B7"/>
    <w:rsid w:val="00146B99"/>
    <w:rsid w:val="001522D9"/>
    <w:rsid w:val="00167CDA"/>
    <w:rsid w:val="00185B6C"/>
    <w:rsid w:val="00195D4C"/>
    <w:rsid w:val="001A1BB6"/>
    <w:rsid w:val="001D1C41"/>
    <w:rsid w:val="001D5EAD"/>
    <w:rsid w:val="002044A2"/>
    <w:rsid w:val="00221DDB"/>
    <w:rsid w:val="00240383"/>
    <w:rsid w:val="00267049"/>
    <w:rsid w:val="00271129"/>
    <w:rsid w:val="00284835"/>
    <w:rsid w:val="002B3C4D"/>
    <w:rsid w:val="002C306C"/>
    <w:rsid w:val="002D1409"/>
    <w:rsid w:val="002D3996"/>
    <w:rsid w:val="00305C24"/>
    <w:rsid w:val="0032526B"/>
    <w:rsid w:val="003259F7"/>
    <w:rsid w:val="0039466E"/>
    <w:rsid w:val="003C0359"/>
    <w:rsid w:val="003D3A85"/>
    <w:rsid w:val="003D5D1A"/>
    <w:rsid w:val="003F06DD"/>
    <w:rsid w:val="003F1BE1"/>
    <w:rsid w:val="00411C3C"/>
    <w:rsid w:val="004218BB"/>
    <w:rsid w:val="0043161A"/>
    <w:rsid w:val="00435AB0"/>
    <w:rsid w:val="004703F5"/>
    <w:rsid w:val="00476653"/>
    <w:rsid w:val="004A73C9"/>
    <w:rsid w:val="004E240A"/>
    <w:rsid w:val="00503AC6"/>
    <w:rsid w:val="00541EBA"/>
    <w:rsid w:val="00564BD9"/>
    <w:rsid w:val="00573BEE"/>
    <w:rsid w:val="005A4CA7"/>
    <w:rsid w:val="00611E95"/>
    <w:rsid w:val="00637A10"/>
    <w:rsid w:val="00645AD6"/>
    <w:rsid w:val="0066760F"/>
    <w:rsid w:val="0067725E"/>
    <w:rsid w:val="006E1645"/>
    <w:rsid w:val="006F1FD4"/>
    <w:rsid w:val="00722E1C"/>
    <w:rsid w:val="00734CF8"/>
    <w:rsid w:val="00735567"/>
    <w:rsid w:val="007400E0"/>
    <w:rsid w:val="00776BA4"/>
    <w:rsid w:val="007865B2"/>
    <w:rsid w:val="007C6A5C"/>
    <w:rsid w:val="007F001E"/>
    <w:rsid w:val="007F6A2A"/>
    <w:rsid w:val="00805EC5"/>
    <w:rsid w:val="008257EA"/>
    <w:rsid w:val="00834FB9"/>
    <w:rsid w:val="00843CCE"/>
    <w:rsid w:val="0085002C"/>
    <w:rsid w:val="00850EF6"/>
    <w:rsid w:val="008819C1"/>
    <w:rsid w:val="0088288F"/>
    <w:rsid w:val="008972AE"/>
    <w:rsid w:val="008C20AC"/>
    <w:rsid w:val="008C7410"/>
    <w:rsid w:val="008C7891"/>
    <w:rsid w:val="008E1DE2"/>
    <w:rsid w:val="008E7EFB"/>
    <w:rsid w:val="009015CB"/>
    <w:rsid w:val="00926FAC"/>
    <w:rsid w:val="009625E7"/>
    <w:rsid w:val="00965FFE"/>
    <w:rsid w:val="00967996"/>
    <w:rsid w:val="009B0E38"/>
    <w:rsid w:val="009F2000"/>
    <w:rsid w:val="00A025EA"/>
    <w:rsid w:val="00A274C8"/>
    <w:rsid w:val="00A337C9"/>
    <w:rsid w:val="00A61F5F"/>
    <w:rsid w:val="00A63F83"/>
    <w:rsid w:val="00A72FB0"/>
    <w:rsid w:val="00A8020F"/>
    <w:rsid w:val="00AA3AE8"/>
    <w:rsid w:val="00AB7E21"/>
    <w:rsid w:val="00B35BE1"/>
    <w:rsid w:val="00B66F46"/>
    <w:rsid w:val="00B95381"/>
    <w:rsid w:val="00BF0F3A"/>
    <w:rsid w:val="00C00DE4"/>
    <w:rsid w:val="00C13C66"/>
    <w:rsid w:val="00C71577"/>
    <w:rsid w:val="00C90FE8"/>
    <w:rsid w:val="00CA250E"/>
    <w:rsid w:val="00CF186C"/>
    <w:rsid w:val="00CF25A1"/>
    <w:rsid w:val="00D07A41"/>
    <w:rsid w:val="00D154D1"/>
    <w:rsid w:val="00D25A5E"/>
    <w:rsid w:val="00D26C08"/>
    <w:rsid w:val="00D40D6F"/>
    <w:rsid w:val="00D50818"/>
    <w:rsid w:val="00D85A6F"/>
    <w:rsid w:val="00DB3033"/>
    <w:rsid w:val="00DB50C0"/>
    <w:rsid w:val="00DC344A"/>
    <w:rsid w:val="00DC7BC2"/>
    <w:rsid w:val="00DE05DB"/>
    <w:rsid w:val="00DE7261"/>
    <w:rsid w:val="00E0705E"/>
    <w:rsid w:val="00E11C76"/>
    <w:rsid w:val="00E12F23"/>
    <w:rsid w:val="00E13022"/>
    <w:rsid w:val="00E15B16"/>
    <w:rsid w:val="00E224ED"/>
    <w:rsid w:val="00E42627"/>
    <w:rsid w:val="00E75751"/>
    <w:rsid w:val="00EC086B"/>
    <w:rsid w:val="00EE1F04"/>
    <w:rsid w:val="00EE5CB1"/>
    <w:rsid w:val="00EF0AE8"/>
    <w:rsid w:val="00F059BE"/>
    <w:rsid w:val="00F137BF"/>
    <w:rsid w:val="00F1719D"/>
    <w:rsid w:val="00F259A8"/>
    <w:rsid w:val="00F47568"/>
    <w:rsid w:val="00F50141"/>
    <w:rsid w:val="00F52ACD"/>
    <w:rsid w:val="00F83066"/>
    <w:rsid w:val="00F904AC"/>
    <w:rsid w:val="00F944FB"/>
    <w:rsid w:val="00FB12D5"/>
    <w:rsid w:val="00FB40A0"/>
    <w:rsid w:val="00FE79F2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3e5185,#60adb8"/>
    </o:shapedefaults>
    <o:shapelayout v:ext="edit">
      <o:idmap v:ext="edit" data="1"/>
    </o:shapelayout>
  </w:shapeDefaults>
  <w:decimalSymbol w:val="."/>
  <w:listSeparator w:val=","/>
  <w14:docId w14:val="7F88AE35"/>
  <w15:docId w15:val="{03C2125C-A7A8-4C28-8515-061F6D72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835"/>
    <w:pPr>
      <w:spacing w:line="288" w:lineRule="auto"/>
    </w:pPr>
    <w:rPr>
      <w:rFonts w:ascii="Calibri Light" w:hAnsi="Calibri Light"/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242ED"/>
    <w:pPr>
      <w:keepNext/>
      <w:spacing w:after="200" w:line="500" w:lineRule="exact"/>
      <w:outlineLvl w:val="0"/>
    </w:pPr>
    <w:rPr>
      <w:rFonts w:ascii="Calibri bold" w:hAnsi="Calibri bold" w:cs="Arial"/>
      <w:b/>
      <w:bCs/>
      <w:color w:val="007268"/>
      <w:kern w:val="32"/>
      <w:sz w:val="48"/>
      <w:szCs w:val="32"/>
    </w:rPr>
  </w:style>
  <w:style w:type="paragraph" w:styleId="Heading2">
    <w:name w:val="heading 2"/>
    <w:basedOn w:val="Normal"/>
    <w:next w:val="Normal"/>
    <w:qFormat/>
    <w:rsid w:val="000242ED"/>
    <w:pPr>
      <w:keepNext/>
      <w:spacing w:before="500" w:after="100" w:line="400" w:lineRule="exact"/>
      <w:outlineLvl w:val="1"/>
    </w:pPr>
    <w:rPr>
      <w:rFonts w:ascii="Calibri bold" w:hAnsi="Calibri bold" w:cs="Arial"/>
      <w:b/>
      <w:bCs/>
      <w:iCs/>
      <w:color w:val="007268"/>
      <w:kern w:val="32"/>
      <w:sz w:val="40"/>
      <w:szCs w:val="28"/>
    </w:rPr>
  </w:style>
  <w:style w:type="paragraph" w:styleId="Heading3">
    <w:name w:val="heading 3"/>
    <w:basedOn w:val="Normal"/>
    <w:next w:val="Normal"/>
    <w:qFormat/>
    <w:rsid w:val="000242ED"/>
    <w:pPr>
      <w:keepNext/>
      <w:spacing w:before="500" w:after="100"/>
      <w:outlineLvl w:val="2"/>
    </w:pPr>
    <w:rPr>
      <w:rFonts w:ascii="Calibri bold" w:hAnsi="Calibri bold" w:cs="Arial"/>
      <w:b/>
      <w:bCs/>
      <w:iCs/>
      <w:color w:val="auto"/>
      <w:sz w:val="32"/>
      <w:szCs w:val="26"/>
    </w:rPr>
  </w:style>
  <w:style w:type="paragraph" w:styleId="Heading4">
    <w:name w:val="heading 4"/>
    <w:basedOn w:val="Normal"/>
    <w:next w:val="Normal"/>
    <w:qFormat/>
    <w:rsid w:val="000242ED"/>
    <w:pPr>
      <w:keepNext/>
      <w:spacing w:before="500" w:after="100"/>
      <w:outlineLvl w:val="3"/>
    </w:pPr>
    <w:rPr>
      <w:rFonts w:ascii="Calibri bold" w:hAnsi="Calibri bold"/>
      <w:bCs/>
      <w:color w:val="006E63"/>
      <w:sz w:val="28"/>
      <w:szCs w:val="28"/>
    </w:rPr>
  </w:style>
  <w:style w:type="paragraph" w:styleId="Heading5">
    <w:name w:val="heading 5"/>
    <w:basedOn w:val="Normal"/>
    <w:next w:val="Normal"/>
    <w:qFormat/>
    <w:rsid w:val="000242ED"/>
    <w:pPr>
      <w:spacing w:before="500" w:after="100"/>
      <w:outlineLvl w:val="4"/>
    </w:pPr>
    <w:rPr>
      <w:rFonts w:ascii="Calibri bold" w:hAnsi="Calibri bold"/>
      <w:bCs/>
      <w:iCs/>
      <w:color w:val="auto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05EC5"/>
    <w:pPr>
      <w:keepNext/>
      <w:keepLines/>
      <w:spacing w:before="500" w:after="1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05EC5"/>
    <w:pPr>
      <w:keepNext/>
      <w:keepLines/>
      <w:spacing w:before="500" w:after="1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05EC5"/>
    <w:pPr>
      <w:keepNext/>
      <w:keepLines/>
      <w:spacing w:before="500" w:after="1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05EC5"/>
    <w:pPr>
      <w:keepNext/>
      <w:keepLines/>
      <w:spacing w:before="500" w:after="1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5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05EC5"/>
    <w:pPr>
      <w:tabs>
        <w:tab w:val="center" w:pos="4320"/>
        <w:tab w:val="right" w:pos="8640"/>
      </w:tabs>
      <w:spacing w:after="160"/>
    </w:pPr>
    <w:rPr>
      <w:sz w:val="18"/>
    </w:rPr>
  </w:style>
  <w:style w:type="paragraph" w:customStyle="1" w:styleId="MPTSNormalBold">
    <w:name w:val="MPTS Normal Bold"/>
    <w:basedOn w:val="Normal"/>
    <w:rsid w:val="00805EC5"/>
    <w:rPr>
      <w:b/>
    </w:rPr>
  </w:style>
  <w:style w:type="paragraph" w:styleId="Caption">
    <w:name w:val="caption"/>
    <w:basedOn w:val="Normal"/>
    <w:next w:val="Normal"/>
    <w:qFormat/>
    <w:rsid w:val="00805EC5"/>
    <w:rPr>
      <w:b/>
      <w:bCs/>
      <w:i/>
      <w:szCs w:val="20"/>
    </w:rPr>
  </w:style>
  <w:style w:type="paragraph" w:styleId="ListNumber">
    <w:name w:val="List Number"/>
    <w:basedOn w:val="Normal"/>
    <w:rsid w:val="00805EC5"/>
  </w:style>
  <w:style w:type="paragraph" w:styleId="ListBullet">
    <w:name w:val="List Bullet"/>
    <w:basedOn w:val="Normal"/>
    <w:uiPriority w:val="99"/>
    <w:rsid w:val="00805EC5"/>
    <w:pPr>
      <w:numPr>
        <w:numId w:val="36"/>
      </w:numPr>
    </w:pPr>
  </w:style>
  <w:style w:type="paragraph" w:customStyle="1" w:styleId="MPTSNormalItalic">
    <w:name w:val="MPTS Normal Italic"/>
    <w:basedOn w:val="Normal"/>
    <w:rsid w:val="00805EC5"/>
    <w:rPr>
      <w:bCs/>
      <w:i/>
    </w:rPr>
  </w:style>
  <w:style w:type="character" w:styleId="PageNumber">
    <w:name w:val="page number"/>
    <w:basedOn w:val="DefaultParagraphFont"/>
    <w:rsid w:val="00805EC5"/>
    <w:rPr>
      <w:sz w:val="18"/>
    </w:rPr>
  </w:style>
  <w:style w:type="paragraph" w:styleId="ListNumber2">
    <w:name w:val="List Number 2"/>
    <w:basedOn w:val="Normal"/>
    <w:rsid w:val="00805EC5"/>
    <w:pPr>
      <w:numPr>
        <w:ilvl w:val="1"/>
        <w:numId w:val="38"/>
      </w:numPr>
      <w:tabs>
        <w:tab w:val="left" w:pos="1361"/>
      </w:tabs>
    </w:pPr>
  </w:style>
  <w:style w:type="paragraph" w:styleId="ListNumber3">
    <w:name w:val="List Number 3"/>
    <w:basedOn w:val="Normal"/>
    <w:rsid w:val="00805EC5"/>
    <w:pPr>
      <w:numPr>
        <w:ilvl w:val="2"/>
        <w:numId w:val="38"/>
      </w:numPr>
    </w:pPr>
  </w:style>
  <w:style w:type="paragraph" w:customStyle="1" w:styleId="MPTSNormalRight">
    <w:name w:val="MPTS Normal Right"/>
    <w:basedOn w:val="Normal"/>
    <w:rsid w:val="00805EC5"/>
    <w:pPr>
      <w:jc w:val="right"/>
    </w:pPr>
  </w:style>
  <w:style w:type="paragraph" w:customStyle="1" w:styleId="MPTSNumberheadingstyle">
    <w:name w:val="MPTS Number heading style"/>
    <w:basedOn w:val="Normal"/>
    <w:next w:val="Normal"/>
    <w:rsid w:val="00805EC5"/>
    <w:pPr>
      <w:jc w:val="right"/>
    </w:pPr>
    <w:rPr>
      <w:b/>
      <w:bCs/>
      <w:sz w:val="44"/>
    </w:rPr>
  </w:style>
  <w:style w:type="paragraph" w:customStyle="1" w:styleId="MPTSNumbertext">
    <w:name w:val="MPTS Number text"/>
    <w:basedOn w:val="Normal"/>
    <w:rsid w:val="00805EC5"/>
    <w:pPr>
      <w:numPr>
        <w:numId w:val="40"/>
      </w:numPr>
    </w:pPr>
  </w:style>
  <w:style w:type="paragraph" w:customStyle="1" w:styleId="MPTSA-Ztext">
    <w:name w:val="MPTS A-Z text"/>
    <w:basedOn w:val="Normal"/>
    <w:rsid w:val="00805EC5"/>
    <w:pPr>
      <w:numPr>
        <w:numId w:val="39"/>
      </w:numPr>
    </w:pPr>
  </w:style>
  <w:style w:type="paragraph" w:customStyle="1" w:styleId="MPTSRomantext">
    <w:name w:val="MPTS Roman text"/>
    <w:basedOn w:val="Normal"/>
    <w:rsid w:val="00805EC5"/>
    <w:pPr>
      <w:numPr>
        <w:numId w:val="41"/>
      </w:numPr>
    </w:pPr>
  </w:style>
  <w:style w:type="paragraph" w:customStyle="1" w:styleId="MPTSNormalindented">
    <w:name w:val="MPTS Normal indented"/>
    <w:basedOn w:val="MPTSNumbertext"/>
    <w:rsid w:val="00805EC5"/>
    <w:pPr>
      <w:numPr>
        <w:numId w:val="0"/>
      </w:numPr>
      <w:ind w:left="709"/>
    </w:pPr>
  </w:style>
  <w:style w:type="paragraph" w:styleId="ListBullet2">
    <w:name w:val="List Bullet 2"/>
    <w:basedOn w:val="Normal"/>
    <w:rsid w:val="00805EC5"/>
    <w:pPr>
      <w:numPr>
        <w:ilvl w:val="1"/>
        <w:numId w:val="36"/>
      </w:numPr>
    </w:pPr>
  </w:style>
  <w:style w:type="paragraph" w:styleId="ListBullet3">
    <w:name w:val="List Bullet 3"/>
    <w:basedOn w:val="Normal"/>
    <w:rsid w:val="00805EC5"/>
    <w:pPr>
      <w:numPr>
        <w:ilvl w:val="2"/>
        <w:numId w:val="36"/>
      </w:numPr>
    </w:pPr>
  </w:style>
  <w:style w:type="paragraph" w:styleId="ListBullet4">
    <w:name w:val="List Bullet 4"/>
    <w:basedOn w:val="Normal"/>
    <w:rsid w:val="00805EC5"/>
    <w:pPr>
      <w:numPr>
        <w:ilvl w:val="3"/>
        <w:numId w:val="36"/>
      </w:numPr>
    </w:pPr>
  </w:style>
  <w:style w:type="paragraph" w:styleId="ListBullet5">
    <w:name w:val="List Bullet 5"/>
    <w:basedOn w:val="Normal"/>
    <w:uiPriority w:val="99"/>
    <w:rsid w:val="00805EC5"/>
    <w:pPr>
      <w:numPr>
        <w:ilvl w:val="4"/>
        <w:numId w:val="36"/>
      </w:numPr>
    </w:pPr>
  </w:style>
  <w:style w:type="paragraph" w:customStyle="1" w:styleId="GMCNormalItalic">
    <w:name w:val="GMC Normal Italic"/>
    <w:basedOn w:val="Normal"/>
    <w:rsid w:val="00805EC5"/>
    <w:rPr>
      <w:bCs/>
      <w:i/>
    </w:rPr>
  </w:style>
  <w:style w:type="paragraph" w:customStyle="1" w:styleId="GMCNumberheadingstyle">
    <w:name w:val="GMC Number heading style"/>
    <w:basedOn w:val="Normal"/>
    <w:next w:val="Normal"/>
    <w:rsid w:val="00805EC5"/>
    <w:pPr>
      <w:jc w:val="right"/>
    </w:pPr>
    <w:rPr>
      <w:b/>
      <w:bCs/>
      <w:sz w:val="44"/>
    </w:rPr>
  </w:style>
  <w:style w:type="paragraph" w:customStyle="1" w:styleId="GMCNumbertext">
    <w:name w:val="GMC Number text"/>
    <w:basedOn w:val="Normal"/>
    <w:rsid w:val="00805EC5"/>
    <w:pPr>
      <w:tabs>
        <w:tab w:val="num" w:pos="510"/>
      </w:tabs>
      <w:ind w:left="510" w:hanging="510"/>
    </w:pPr>
  </w:style>
  <w:style w:type="paragraph" w:customStyle="1" w:styleId="GMCA-Ztext">
    <w:name w:val="GMC A-Z text"/>
    <w:basedOn w:val="Normal"/>
    <w:rsid w:val="00805EC5"/>
    <w:pPr>
      <w:numPr>
        <w:numId w:val="31"/>
      </w:numPr>
    </w:pPr>
  </w:style>
  <w:style w:type="paragraph" w:styleId="BalloonText">
    <w:name w:val="Balloon Text"/>
    <w:basedOn w:val="Normal"/>
    <w:link w:val="BalloonTextChar"/>
    <w:rsid w:val="00805EC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5EC5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GMCNormalBold">
    <w:name w:val="GMC Normal Bold"/>
    <w:basedOn w:val="Normal"/>
    <w:rsid w:val="00805EC5"/>
    <w:rPr>
      <w:b/>
    </w:rPr>
  </w:style>
  <w:style w:type="character" w:styleId="Hyperlink">
    <w:name w:val="Hyperlink"/>
    <w:basedOn w:val="DefaultParagraphFont"/>
    <w:rsid w:val="00805EC5"/>
    <w:rPr>
      <w:color w:val="0000FF"/>
      <w:u w:val="single"/>
    </w:rPr>
  </w:style>
  <w:style w:type="character" w:styleId="FollowedHyperlink">
    <w:name w:val="FollowedHyperlink"/>
    <w:basedOn w:val="DefaultParagraphFont"/>
    <w:rsid w:val="00805EC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805E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05EC5"/>
    <w:rPr>
      <w:rFonts w:ascii="Tahoma" w:hAnsi="Tahoma"/>
      <w:color w:val="000000"/>
      <w:lang w:eastAsia="en-US"/>
    </w:rPr>
  </w:style>
  <w:style w:type="character" w:styleId="FootnoteReference">
    <w:name w:val="footnote reference"/>
    <w:basedOn w:val="DefaultParagraphFont"/>
    <w:rsid w:val="00805EC5"/>
    <w:rPr>
      <w:vertAlign w:val="superscript"/>
    </w:rPr>
  </w:style>
  <w:style w:type="paragraph" w:styleId="EndnoteText">
    <w:name w:val="endnote text"/>
    <w:basedOn w:val="Normal"/>
    <w:link w:val="EndnoteTextChar"/>
    <w:rsid w:val="00805EC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05EC5"/>
    <w:rPr>
      <w:rFonts w:ascii="Tahoma" w:hAnsi="Tahoma"/>
      <w:color w:val="000000"/>
      <w:lang w:eastAsia="en-US"/>
    </w:rPr>
  </w:style>
  <w:style w:type="character" w:styleId="EndnoteReference">
    <w:name w:val="endnote reference"/>
    <w:basedOn w:val="DefaultParagraphFont"/>
    <w:rsid w:val="00805EC5"/>
    <w:rPr>
      <w:vertAlign w:val="superscript"/>
    </w:rPr>
  </w:style>
  <w:style w:type="character" w:customStyle="1" w:styleId="Heading6Char">
    <w:name w:val="Heading 6 Char"/>
    <w:basedOn w:val="DefaultParagraphFont"/>
    <w:link w:val="Heading6"/>
    <w:semiHidden/>
    <w:rsid w:val="00805EC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05EC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05E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805EC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MPTSNewBulletChar">
    <w:name w:val="MPTS New Bullet Char"/>
    <w:basedOn w:val="DefaultParagraphFont"/>
    <w:link w:val="MPTSNewBullet"/>
    <w:locked/>
    <w:rsid w:val="007F6A2A"/>
    <w:rPr>
      <w:rFonts w:ascii="Calibri Light" w:hAnsi="Calibri Light"/>
      <w:color w:val="000000"/>
      <w:sz w:val="24"/>
      <w:szCs w:val="24"/>
    </w:rPr>
  </w:style>
  <w:style w:type="paragraph" w:customStyle="1" w:styleId="MPTSNewBullet">
    <w:name w:val="MPTS New Bullet"/>
    <w:basedOn w:val="ListBullet"/>
    <w:link w:val="MPTSNewBulletChar"/>
    <w:qFormat/>
    <w:rsid w:val="007F6A2A"/>
    <w:pPr>
      <w:numPr>
        <w:numId w:val="42"/>
      </w:numPr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39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68636-5ABA-44AC-9210-7C837217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530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GMC Annex</vt:lpstr>
    </vt:vector>
  </TitlesOfParts>
  <Company>GMC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GMC Annex</dc:title>
  <dc:creator>Oliver Rogers (0161 923 6250)</dc:creator>
  <dc:description>Developed by Operandi Limited.</dc:description>
  <cp:lastModifiedBy>Glenys O'Neill</cp:lastModifiedBy>
  <cp:revision>7</cp:revision>
  <cp:lastPrinted>2014-06-11T13:55:00Z</cp:lastPrinted>
  <dcterms:created xsi:type="dcterms:W3CDTF">2023-06-21T09:07:00Z</dcterms:created>
  <dcterms:modified xsi:type="dcterms:W3CDTF">2023-06-21T12:38:00Z</dcterms:modified>
</cp:coreProperties>
</file>