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81E2" w14:textId="77777777" w:rsidR="00E0705E" w:rsidRDefault="00E0705E" w:rsidP="00E0705E"/>
    <w:p w14:paraId="78418C65" w14:textId="77777777" w:rsidR="00E15B16" w:rsidRDefault="00E15B16" w:rsidP="00E0705E"/>
    <w:p w14:paraId="05B401F8" w14:textId="77777777" w:rsidR="00E15B16" w:rsidRDefault="00E15B16" w:rsidP="00E0705E"/>
    <w:p w14:paraId="65BC438F" w14:textId="77777777" w:rsidR="00E15B16" w:rsidRDefault="00E15B16" w:rsidP="00E0705E"/>
    <w:p w14:paraId="0278B532" w14:textId="77777777" w:rsidR="00E15B16" w:rsidRDefault="00E15B16" w:rsidP="00E0705E"/>
    <w:p w14:paraId="6BCBF662" w14:textId="77777777" w:rsidR="00E15B16" w:rsidRDefault="00E15B16" w:rsidP="00E0705E"/>
    <w:p w14:paraId="0AB808CA" w14:textId="77777777" w:rsidR="00E15B16" w:rsidRDefault="00E15B16" w:rsidP="00E0705E"/>
    <w:p w14:paraId="5135E940" w14:textId="130D8834" w:rsidR="00E15B16" w:rsidRPr="00360856" w:rsidRDefault="00E15B16" w:rsidP="00A274C8">
      <w:pPr>
        <w:pStyle w:val="Heading4"/>
        <w:rPr>
          <w:rFonts w:asciiTheme="minorHAnsi" w:hAnsiTheme="minorHAnsi" w:cstheme="minorHAnsi"/>
        </w:rPr>
      </w:pPr>
      <w:r w:rsidRPr="00360856">
        <w:rPr>
          <w:rFonts w:asciiTheme="minorHAnsi" w:hAnsiTheme="minorHAnsi" w:cstheme="minorHAnsi"/>
        </w:rPr>
        <w:t>Appeals Circulars 202</w:t>
      </w:r>
      <w:r w:rsidR="00694E6E">
        <w:rPr>
          <w:rFonts w:asciiTheme="minorHAnsi" w:hAnsiTheme="minorHAnsi" w:cstheme="minorHAnsi"/>
        </w:rPr>
        <w:t>5</w:t>
      </w:r>
    </w:p>
    <w:p w14:paraId="1C421B1D" w14:textId="77777777" w:rsidR="00E15B16" w:rsidRPr="00360856" w:rsidRDefault="00E15B16" w:rsidP="00E15B16">
      <w:pPr>
        <w:rPr>
          <w:rFonts w:asciiTheme="minorHAnsi" w:hAnsiTheme="minorHAnsi" w:cstheme="minorHAnsi"/>
          <w:b/>
        </w:rPr>
      </w:pP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984"/>
        <w:gridCol w:w="2552"/>
        <w:gridCol w:w="3827"/>
      </w:tblGrid>
      <w:tr w:rsidR="00E15B16" w:rsidRPr="00360856" w14:paraId="5C28CF07" w14:textId="77777777" w:rsidTr="00F14C9B">
        <w:trPr>
          <w:trHeight w:val="516"/>
        </w:trPr>
        <w:tc>
          <w:tcPr>
            <w:tcW w:w="1135" w:type="dxa"/>
            <w:shd w:val="clear" w:color="auto" w:fill="auto"/>
            <w:vAlign w:val="center"/>
          </w:tcPr>
          <w:p w14:paraId="2F16D95D" w14:textId="77777777" w:rsidR="00E15B16" w:rsidRPr="00360856" w:rsidRDefault="00E15B16" w:rsidP="00E15B16">
            <w:pPr>
              <w:rPr>
                <w:rFonts w:cs="Calibri Light"/>
                <w:b/>
              </w:rPr>
            </w:pPr>
            <w:r w:rsidRPr="00360856">
              <w:rPr>
                <w:rFonts w:cs="Calibri Light"/>
                <w:b/>
              </w:rPr>
              <w:t>Number</w:t>
            </w:r>
          </w:p>
        </w:tc>
        <w:tc>
          <w:tcPr>
            <w:tcW w:w="1984" w:type="dxa"/>
            <w:shd w:val="clear" w:color="auto" w:fill="auto"/>
            <w:vAlign w:val="center"/>
          </w:tcPr>
          <w:p w14:paraId="1A9D969C" w14:textId="77777777" w:rsidR="00E15B16" w:rsidRPr="00360856" w:rsidRDefault="00E15B16" w:rsidP="00E15B16">
            <w:pPr>
              <w:rPr>
                <w:rFonts w:cs="Calibri Light"/>
                <w:b/>
              </w:rPr>
            </w:pPr>
            <w:r w:rsidRPr="00360856">
              <w:rPr>
                <w:rFonts w:cs="Calibri Light"/>
                <w:b/>
              </w:rPr>
              <w:t>Date Circulated</w:t>
            </w:r>
          </w:p>
        </w:tc>
        <w:tc>
          <w:tcPr>
            <w:tcW w:w="2552" w:type="dxa"/>
            <w:shd w:val="clear" w:color="auto" w:fill="auto"/>
            <w:vAlign w:val="center"/>
          </w:tcPr>
          <w:p w14:paraId="2AA79FA3" w14:textId="77777777" w:rsidR="00E15B16" w:rsidRPr="00360856" w:rsidRDefault="00E15B16" w:rsidP="00E15B16">
            <w:pPr>
              <w:rPr>
                <w:rFonts w:cs="Calibri Light"/>
                <w:b/>
              </w:rPr>
            </w:pPr>
            <w:r w:rsidRPr="00360856">
              <w:rPr>
                <w:rFonts w:cs="Calibri Light"/>
                <w:b/>
              </w:rPr>
              <w:t>Appellant</w:t>
            </w:r>
          </w:p>
        </w:tc>
        <w:tc>
          <w:tcPr>
            <w:tcW w:w="3827" w:type="dxa"/>
            <w:shd w:val="clear" w:color="auto" w:fill="auto"/>
            <w:vAlign w:val="center"/>
          </w:tcPr>
          <w:p w14:paraId="7BA3F632" w14:textId="77777777" w:rsidR="00E15B16" w:rsidRPr="00360856" w:rsidRDefault="00E15B16" w:rsidP="00E15B16">
            <w:pPr>
              <w:rPr>
                <w:rFonts w:cs="Calibri Light"/>
                <w:b/>
              </w:rPr>
            </w:pPr>
            <w:r w:rsidRPr="00360856">
              <w:rPr>
                <w:rFonts w:cs="Calibri Light"/>
                <w:b/>
              </w:rPr>
              <w:t>Documents circulated</w:t>
            </w:r>
          </w:p>
        </w:tc>
      </w:tr>
      <w:tr w:rsidR="00F14C9B" w:rsidRPr="00360856" w14:paraId="38178FCC" w14:textId="77777777" w:rsidTr="00F14C9B">
        <w:trPr>
          <w:trHeight w:val="51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F24BE38" w14:textId="529B8CAE" w:rsidR="004B2A2B" w:rsidRPr="004B2A2B" w:rsidRDefault="004B2A2B" w:rsidP="00E932B7">
            <w:pPr>
              <w:rPr>
                <w:rFonts w:cs="Calibri Light"/>
                <w:bCs/>
              </w:rPr>
            </w:pPr>
            <w:r w:rsidRPr="004B2A2B">
              <w:rPr>
                <w:rFonts w:cs="Calibri Light"/>
                <w:bCs/>
              </w:rPr>
              <w:t>A01 2</w:t>
            </w:r>
            <w:r w:rsidR="00694E6E">
              <w:rPr>
                <w:rFonts w:cs="Calibri Light"/>
                <w:bCs/>
              </w:rPr>
              <w:t>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FA24922" w14:textId="649A2C58" w:rsidR="004B2A2B" w:rsidRPr="004B2A2B" w:rsidRDefault="00B07B39" w:rsidP="00E932B7">
            <w:pPr>
              <w:rPr>
                <w:rFonts w:cs="Calibri Light"/>
                <w:bCs/>
              </w:rPr>
            </w:pPr>
            <w:r>
              <w:rPr>
                <w:rFonts w:cs="Calibri Light"/>
                <w:bCs/>
              </w:rPr>
              <w:t>13 February 202</w:t>
            </w:r>
            <w:r w:rsidR="003E5CD3">
              <w:rPr>
                <w:rFonts w:cs="Calibri Light"/>
                <w:bCs/>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FDC53AD" w14:textId="1DD6CB65" w:rsidR="004B2A2B" w:rsidRPr="004B2A2B" w:rsidRDefault="00B07B39" w:rsidP="00E932B7">
            <w:pPr>
              <w:rPr>
                <w:rFonts w:cs="Calibri Light"/>
                <w:bCs/>
              </w:rPr>
            </w:pPr>
            <w:r w:rsidRPr="004B2A2B">
              <w:rPr>
                <w:rFonts w:cs="Calibri Light"/>
                <w:bCs/>
              </w:rPr>
              <w:t>Quarterly Appeal Circular Q4 202</w:t>
            </w:r>
            <w:r>
              <w:rPr>
                <w:rFonts w:cs="Calibri Light"/>
                <w:bCs/>
              </w:rPr>
              <w:t>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10E0CE3" w14:textId="0AF3ACF8" w:rsidR="005F699A" w:rsidRDefault="005F699A" w:rsidP="005F699A">
            <w:r>
              <w:t>Learning points from recent appeals in the fourth quarter of 2024:</w:t>
            </w:r>
          </w:p>
          <w:p w14:paraId="0C321748" w14:textId="77777777" w:rsidR="005F699A" w:rsidRPr="005F699A" w:rsidRDefault="005F699A" w:rsidP="005F699A">
            <w:pPr>
              <w:pStyle w:val="ListParagraph"/>
              <w:numPr>
                <w:ilvl w:val="0"/>
                <w:numId w:val="52"/>
              </w:numPr>
              <w:spacing w:before="40" w:after="40" w:line="252" w:lineRule="auto"/>
              <w:rPr>
                <w:rFonts w:cs="Calibri Light"/>
                <w:lang w:eastAsia="en-GB"/>
              </w:rPr>
            </w:pPr>
            <w:r w:rsidRPr="005F699A">
              <w:rPr>
                <w:rFonts w:cs="Calibri Light"/>
                <w:lang w:eastAsia="en-GB"/>
              </w:rPr>
              <w:t xml:space="preserve">When considering applications relating to vulnerable witnesses: </w:t>
            </w:r>
            <w:hyperlink r:id="rId8" w:history="1">
              <w:r w:rsidRPr="005F699A">
                <w:rPr>
                  <w:rStyle w:val="Hyperlink"/>
                  <w:rFonts w:cs="Calibri Light"/>
                  <w:lang w:eastAsia="en-GB"/>
                </w:rPr>
                <w:t>Professional Standards Authority Council for Health and Social Care v General Pharmaceutical Council and another [2024] EWHC 3335 (Admin)</w:t>
              </w:r>
            </w:hyperlink>
          </w:p>
          <w:p w14:paraId="62B9C7C7" w14:textId="3641A3F5" w:rsidR="004B2A2B" w:rsidRDefault="005F699A" w:rsidP="005F699A">
            <w:pPr>
              <w:pStyle w:val="ListParagraph"/>
              <w:numPr>
                <w:ilvl w:val="0"/>
                <w:numId w:val="52"/>
              </w:numPr>
              <w:rPr>
                <w:rFonts w:cs="Calibri Light"/>
                <w:bCs/>
              </w:rPr>
            </w:pPr>
            <w:r>
              <w:rPr>
                <w:rFonts w:cs="Calibri Light"/>
                <w:bCs/>
              </w:rPr>
              <w:t xml:space="preserve">Reminder on submission: </w:t>
            </w:r>
            <w:hyperlink r:id="rId9" w:history="1">
              <w:r w:rsidRPr="005F699A">
                <w:rPr>
                  <w:rStyle w:val="Hyperlink"/>
                  <w:rFonts w:cs="Calibri Light"/>
                  <w:lang w:eastAsia="en-GB"/>
                </w:rPr>
                <w:t>Professional Standards Authority Council for Health and Social Care v General Pharmaceutical Council and another [2024] EWHC 3335 (Admin)</w:t>
              </w:r>
            </w:hyperlink>
          </w:p>
          <w:p w14:paraId="41319924" w14:textId="77777777" w:rsidR="005F699A" w:rsidRPr="00D210B3" w:rsidRDefault="005F699A" w:rsidP="005F699A">
            <w:pPr>
              <w:pStyle w:val="ListParagraph"/>
              <w:numPr>
                <w:ilvl w:val="0"/>
                <w:numId w:val="53"/>
              </w:numPr>
              <w:spacing w:line="240" w:lineRule="auto"/>
              <w:rPr>
                <w:rStyle w:val="Hyperlink"/>
                <w:rFonts w:cs="Calibri Light"/>
                <w:lang w:eastAsia="en-GB"/>
              </w:rPr>
            </w:pPr>
            <w:r>
              <w:rPr>
                <w:rFonts w:cs="Calibri Light"/>
                <w:bCs/>
              </w:rPr>
              <w:t xml:space="preserve">Registrant expectations of closed cases: </w:t>
            </w:r>
            <w:r>
              <w:rPr>
                <w:rFonts w:cs="Calibri Light"/>
                <w:lang w:eastAsia="en-GB"/>
              </w:rPr>
              <w:fldChar w:fldCharType="begin"/>
            </w:r>
            <w:r>
              <w:rPr>
                <w:rFonts w:cs="Calibri Light"/>
                <w:lang w:eastAsia="en-GB"/>
              </w:rPr>
              <w:instrText>HYPERLINK "https://www.bailii.org/ew/cases/EWHC/Admin/2024/3005.html"</w:instrText>
            </w:r>
            <w:r>
              <w:rPr>
                <w:rFonts w:cs="Calibri Light"/>
                <w:lang w:eastAsia="en-GB"/>
              </w:rPr>
            </w:r>
            <w:r>
              <w:rPr>
                <w:rFonts w:cs="Calibri Light"/>
                <w:lang w:eastAsia="en-GB"/>
              </w:rPr>
              <w:fldChar w:fldCharType="separate"/>
            </w:r>
            <w:r w:rsidRPr="00D210B3">
              <w:rPr>
                <w:rStyle w:val="Hyperlink"/>
                <w:rFonts w:cs="Calibri Light"/>
                <w:lang w:eastAsia="en-GB"/>
              </w:rPr>
              <w:t>Professional Standards Authority for Health and Social Care v General Pharmaceutical Council &amp; Anor [2024] EWHC 3005 (Admin)</w:t>
            </w:r>
          </w:p>
          <w:p w14:paraId="01244119" w14:textId="42B69F94" w:rsidR="005F699A" w:rsidRPr="005F699A" w:rsidRDefault="005F699A" w:rsidP="005F699A">
            <w:pPr>
              <w:pStyle w:val="ListParagraph"/>
              <w:numPr>
                <w:ilvl w:val="0"/>
                <w:numId w:val="53"/>
              </w:numPr>
            </w:pPr>
            <w:r>
              <w:rPr>
                <w:lang w:eastAsia="en-GB"/>
              </w:rPr>
              <w:fldChar w:fldCharType="end"/>
            </w:r>
            <w:r>
              <w:rPr>
                <w:lang w:eastAsia="en-GB"/>
              </w:rPr>
              <w:t xml:space="preserve">Useful learning points related to fact finding: </w:t>
            </w:r>
            <w:hyperlink r:id="rId10" w:history="1">
              <w:proofErr w:type="spellStart"/>
              <w:r w:rsidRPr="00D210B3">
                <w:rPr>
                  <w:rStyle w:val="Hyperlink"/>
                  <w:rFonts w:cs="Calibri Light"/>
                  <w:lang w:eastAsia="en-GB"/>
                </w:rPr>
                <w:t>Evboren</w:t>
              </w:r>
              <w:proofErr w:type="spellEnd"/>
              <w:r w:rsidRPr="00D210B3">
                <w:rPr>
                  <w:rStyle w:val="Hyperlink"/>
                  <w:rFonts w:cs="Calibri Light"/>
                  <w:lang w:eastAsia="en-GB"/>
                </w:rPr>
                <w:t xml:space="preserve"> v The Nursing and Midwifery Council [2024] EWHC 2975 (Admin) </w:t>
              </w:r>
            </w:hyperlink>
            <w:r w:rsidRPr="005F699A">
              <w:rPr>
                <w:rStyle w:val="Hyperlink"/>
                <w:rFonts w:cs="Calibri Light"/>
                <w:color w:val="auto"/>
                <w:u w:val="none"/>
                <w:lang w:eastAsia="en-GB"/>
              </w:rPr>
              <w:t>&amp;</w:t>
            </w:r>
            <w:r w:rsidR="00893B04">
              <w:rPr>
                <w:rStyle w:val="Hyperlink"/>
                <w:rFonts w:cs="Calibri Light"/>
                <w:color w:val="auto"/>
                <w:u w:val="none"/>
                <w:lang w:eastAsia="en-GB"/>
              </w:rPr>
              <w:t xml:space="preserve"> </w:t>
            </w:r>
            <w:hyperlink r:id="rId11" w:history="1">
              <w:proofErr w:type="spellStart"/>
              <w:r w:rsidR="00893B04" w:rsidRPr="00120135">
                <w:rPr>
                  <w:rStyle w:val="Hyperlink"/>
                  <w:rFonts w:cs="Calibri Light"/>
                  <w:lang w:eastAsia="en-GB"/>
                </w:rPr>
                <w:t>Juchi</w:t>
              </w:r>
              <w:proofErr w:type="spellEnd"/>
              <w:r w:rsidR="00893B04" w:rsidRPr="00120135">
                <w:rPr>
                  <w:rStyle w:val="Hyperlink"/>
                  <w:rFonts w:cs="Calibri Light"/>
                  <w:lang w:eastAsia="en-GB"/>
                </w:rPr>
                <w:t xml:space="preserve"> v Nursing &amp; Midwifery Council [2024] EWHC 2825 (Admin) </w:t>
              </w:r>
            </w:hyperlink>
          </w:p>
          <w:p w14:paraId="70B05771" w14:textId="3FD182E9" w:rsidR="005F699A" w:rsidRPr="005F699A" w:rsidRDefault="005F699A" w:rsidP="005F699A">
            <w:pPr>
              <w:pStyle w:val="ListParagraph"/>
              <w:rPr>
                <w:rFonts w:cs="Calibri Light"/>
                <w:bCs/>
              </w:rPr>
            </w:pPr>
          </w:p>
        </w:tc>
      </w:tr>
      <w:tr w:rsidR="003E5CD3" w:rsidRPr="00360856" w14:paraId="431F7545" w14:textId="77777777" w:rsidTr="00F14C9B">
        <w:trPr>
          <w:trHeight w:val="51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02AA4D3" w14:textId="70AAF516" w:rsidR="003E5CD3" w:rsidRPr="004B2A2B" w:rsidRDefault="003E5CD3" w:rsidP="003E5CD3">
            <w:pPr>
              <w:rPr>
                <w:rFonts w:cs="Calibri Light"/>
                <w:bCs/>
              </w:rPr>
            </w:pPr>
            <w:r>
              <w:rPr>
                <w:rFonts w:cs="Calibri Light"/>
                <w:bCs/>
              </w:rPr>
              <w:lastRenderedPageBreak/>
              <w:t>A02 25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F01E155" w14:textId="69893836" w:rsidR="003E5CD3" w:rsidRDefault="003E5CD3" w:rsidP="003E5CD3">
            <w:pPr>
              <w:rPr>
                <w:rFonts w:cs="Calibri Light"/>
                <w:bCs/>
              </w:rPr>
            </w:pPr>
            <w:r>
              <w:rPr>
                <w:rFonts w:cs="Calibri Light"/>
                <w:bCs/>
              </w:rPr>
              <w:t>6 March 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62E59F1" w14:textId="503E6D1F" w:rsidR="003E5CD3" w:rsidRPr="004B2A2B" w:rsidRDefault="003E5CD3" w:rsidP="003E5CD3">
            <w:pPr>
              <w:rPr>
                <w:rFonts w:cs="Calibri Light"/>
                <w:bCs/>
              </w:rPr>
            </w:pPr>
            <w:r w:rsidRPr="00452C6C">
              <w:rPr>
                <w:rFonts w:cs="Calibri Light"/>
                <w:bCs/>
              </w:rPr>
              <w:t xml:space="preserve">General Medical Council &amp; Professional Standards Authority for Health and Social Care v </w:t>
            </w:r>
            <w:proofErr w:type="spellStart"/>
            <w:r w:rsidRPr="00452C6C">
              <w:rPr>
                <w:rFonts w:cs="Calibri Light"/>
                <w:bCs/>
              </w:rPr>
              <w:t>Dugboyele</w:t>
            </w:r>
            <w:proofErr w:type="spellEnd"/>
            <w:r w:rsidRPr="00452C6C">
              <w:rPr>
                <w:rFonts w:cs="Calibri Light"/>
                <w:bCs/>
              </w:rPr>
              <w:t xml:space="preserve"> [2024] EWHC 2651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FA73468" w14:textId="77777777" w:rsidR="003E5CD3" w:rsidRDefault="003E5CD3" w:rsidP="003E5CD3">
            <w:r w:rsidRPr="00452C6C">
              <w:t>Learning points</w:t>
            </w:r>
          </w:p>
          <w:p w14:paraId="4C927D81" w14:textId="77777777" w:rsidR="003E5CD3" w:rsidRDefault="003E5CD3" w:rsidP="003E5CD3"/>
          <w:p w14:paraId="2AE5A44B" w14:textId="77777777" w:rsidR="003E5CD3" w:rsidRDefault="003E5CD3" w:rsidP="003E5CD3">
            <w:pPr>
              <w:pStyle w:val="ListParagraph"/>
              <w:numPr>
                <w:ilvl w:val="0"/>
                <w:numId w:val="54"/>
              </w:numPr>
              <w:spacing w:before="40" w:after="40" w:line="252" w:lineRule="auto"/>
              <w:contextualSpacing w:val="0"/>
              <w:rPr>
                <w:rFonts w:cs="Calibri Light"/>
                <w:lang w:eastAsia="en-GB"/>
              </w:rPr>
            </w:pPr>
            <w:bookmarkStart w:id="0" w:name="_Hlk143176384"/>
            <w:r>
              <w:rPr>
                <w:rFonts w:cs="Calibri Light"/>
                <w:lang w:eastAsia="en-GB"/>
              </w:rPr>
              <w:t xml:space="preserve">A finding of impairment may follow even where there has been adequate remediation and adequate reduction of future risk of repetition. In cases where there is a low risk of repetition, the tribunal must </w:t>
            </w:r>
            <w:proofErr w:type="gramStart"/>
            <w:r>
              <w:rPr>
                <w:rFonts w:cs="Calibri Light"/>
                <w:lang w:eastAsia="en-GB"/>
              </w:rPr>
              <w:t>give proper consideration to</w:t>
            </w:r>
            <w:proofErr w:type="gramEnd"/>
            <w:r>
              <w:rPr>
                <w:rFonts w:cs="Calibri Light"/>
                <w:lang w:eastAsia="en-GB"/>
              </w:rPr>
              <w:t xml:space="preserve"> all three limbs of the overarching objective</w:t>
            </w:r>
            <w:bookmarkStart w:id="1" w:name="_Ref185869199"/>
            <w:r>
              <w:rPr>
                <w:rStyle w:val="FootnoteReference"/>
                <w:rFonts w:cs="Calibri Light"/>
                <w:lang w:eastAsia="en-GB"/>
              </w:rPr>
              <w:footnoteReference w:id="1"/>
            </w:r>
            <w:bookmarkEnd w:id="1"/>
            <w:r>
              <w:rPr>
                <w:rFonts w:cs="Calibri Light"/>
                <w:lang w:eastAsia="en-GB"/>
              </w:rPr>
              <w:t xml:space="preserve">. </w:t>
            </w:r>
          </w:p>
          <w:p w14:paraId="46DC9056" w14:textId="77777777" w:rsidR="003E5CD3" w:rsidRDefault="003E5CD3" w:rsidP="003E5CD3">
            <w:pPr>
              <w:pStyle w:val="ListParagraph"/>
              <w:spacing w:before="40" w:after="40" w:line="252" w:lineRule="auto"/>
              <w:ind w:left="360"/>
              <w:contextualSpacing w:val="0"/>
              <w:rPr>
                <w:rFonts w:cs="Calibri Light"/>
                <w:lang w:eastAsia="en-GB"/>
              </w:rPr>
            </w:pPr>
          </w:p>
          <w:p w14:paraId="169A0AD6" w14:textId="77777777" w:rsidR="003E5CD3" w:rsidRDefault="003E5CD3" w:rsidP="003E5CD3">
            <w:pPr>
              <w:pStyle w:val="ListParagraph"/>
              <w:numPr>
                <w:ilvl w:val="0"/>
                <w:numId w:val="54"/>
              </w:numPr>
              <w:spacing w:before="40" w:after="40" w:line="252" w:lineRule="auto"/>
              <w:contextualSpacing w:val="0"/>
              <w:rPr>
                <w:rFonts w:cs="Calibri Light"/>
                <w:lang w:eastAsia="en-GB"/>
              </w:rPr>
            </w:pPr>
            <w:r>
              <w:rPr>
                <w:rFonts w:cs="Calibri Light"/>
                <w:lang w:eastAsia="en-GB"/>
              </w:rPr>
              <w:t>In cases of sexual harassment:</w:t>
            </w:r>
          </w:p>
          <w:p w14:paraId="2E9E742F" w14:textId="77777777" w:rsidR="003E5CD3" w:rsidRPr="003F26BB" w:rsidRDefault="003E5CD3" w:rsidP="003E5CD3">
            <w:pPr>
              <w:spacing w:before="40" w:after="40" w:line="252" w:lineRule="auto"/>
              <w:rPr>
                <w:rFonts w:cs="Calibri Light"/>
                <w:lang w:eastAsia="en-GB"/>
              </w:rPr>
            </w:pPr>
          </w:p>
          <w:p w14:paraId="0FDBEAA5" w14:textId="77777777" w:rsidR="003E5CD3" w:rsidRPr="003F26BB" w:rsidRDefault="003E5CD3" w:rsidP="003E5CD3">
            <w:pPr>
              <w:pStyle w:val="ListParagraph"/>
              <w:numPr>
                <w:ilvl w:val="0"/>
                <w:numId w:val="55"/>
              </w:numPr>
              <w:spacing w:before="40" w:after="40" w:line="252" w:lineRule="auto"/>
              <w:contextualSpacing w:val="0"/>
              <w:rPr>
                <w:rFonts w:cs="Calibri Light"/>
                <w:lang w:eastAsia="en-GB"/>
              </w:rPr>
            </w:pPr>
            <w:r>
              <w:rPr>
                <w:rFonts w:cs="Calibri Light"/>
                <w:lang w:eastAsia="en-GB"/>
              </w:rPr>
              <w:t>i</w:t>
            </w:r>
            <w:r w:rsidRPr="00CD029C">
              <w:rPr>
                <w:rFonts w:cs="Calibri Light"/>
                <w:lang w:eastAsia="en-GB"/>
              </w:rPr>
              <w:t xml:space="preserve">t is no less sexual harassment simply because </w:t>
            </w:r>
            <w:r>
              <w:rPr>
                <w:rFonts w:cs="Calibri Light"/>
                <w:lang w:eastAsia="en-GB"/>
              </w:rPr>
              <w:t>the registrant</w:t>
            </w:r>
            <w:r w:rsidRPr="00CD029C">
              <w:rPr>
                <w:rFonts w:cs="Calibri Light"/>
                <w:lang w:eastAsia="en-GB"/>
              </w:rPr>
              <w:t xml:space="preserve"> had no intention to take matters further</w:t>
            </w:r>
            <w:r>
              <w:rPr>
                <w:rFonts w:cs="Calibri Light"/>
                <w:lang w:eastAsia="en-GB"/>
              </w:rPr>
              <w:t>.</w:t>
            </w:r>
          </w:p>
          <w:p w14:paraId="02C57EEE" w14:textId="77777777" w:rsidR="003E5CD3" w:rsidRDefault="003E5CD3" w:rsidP="003E5CD3">
            <w:pPr>
              <w:pStyle w:val="ListParagraph"/>
              <w:numPr>
                <w:ilvl w:val="0"/>
                <w:numId w:val="55"/>
              </w:numPr>
              <w:spacing w:before="40" w:after="40" w:line="252" w:lineRule="auto"/>
              <w:contextualSpacing w:val="0"/>
              <w:rPr>
                <w:rFonts w:cs="Calibri Light"/>
                <w:lang w:eastAsia="en-GB"/>
              </w:rPr>
            </w:pPr>
            <w:r>
              <w:rPr>
                <w:rFonts w:cs="Calibri Light"/>
                <w:lang w:eastAsia="en-GB"/>
              </w:rPr>
              <w:t>the tribunal must consider whether a finding of no impairment would leave the public with a sense that doctors can "get away with" years of sexually harassing their colleagues and/or that sexual harassment is not treated with sufficient seriousness by the tribunal.</w:t>
            </w:r>
          </w:p>
          <w:p w14:paraId="6DA332C5" w14:textId="77777777" w:rsidR="003E5CD3" w:rsidRDefault="003E5CD3" w:rsidP="003E5CD3">
            <w:pPr>
              <w:pStyle w:val="ListParagraph"/>
              <w:spacing w:before="40" w:after="40" w:line="252" w:lineRule="auto"/>
              <w:ind w:left="360"/>
              <w:contextualSpacing w:val="0"/>
              <w:rPr>
                <w:rFonts w:cs="Calibri Light"/>
                <w:lang w:eastAsia="en-GB"/>
              </w:rPr>
            </w:pPr>
          </w:p>
          <w:p w14:paraId="28DFA642" w14:textId="77777777" w:rsidR="003E5CD3" w:rsidRPr="0044795B" w:rsidRDefault="003E5CD3" w:rsidP="003E5CD3">
            <w:pPr>
              <w:pStyle w:val="ListParagraph"/>
              <w:numPr>
                <w:ilvl w:val="0"/>
                <w:numId w:val="54"/>
              </w:numPr>
              <w:spacing w:before="40" w:after="40" w:line="252" w:lineRule="auto"/>
              <w:contextualSpacing w:val="0"/>
              <w:rPr>
                <w:rFonts w:cs="Calibri Light"/>
                <w:lang w:eastAsia="en-GB"/>
              </w:rPr>
            </w:pPr>
            <w:r>
              <w:rPr>
                <w:rFonts w:cs="Calibri Light"/>
                <w:lang w:eastAsia="en-GB"/>
              </w:rPr>
              <w:t>In the unusual case where a party cites principles from the Sanctions Guidance (‘SG’) at impairment stage (</w:t>
            </w:r>
            <w:proofErr w:type="spellStart"/>
            <w:r>
              <w:rPr>
                <w:rFonts w:cs="Calibri Light"/>
                <w:lang w:eastAsia="en-GB"/>
              </w:rPr>
              <w:t>ie</w:t>
            </w:r>
            <w:proofErr w:type="spellEnd"/>
            <w:r>
              <w:rPr>
                <w:rFonts w:cs="Calibri Light"/>
                <w:lang w:eastAsia="en-GB"/>
              </w:rPr>
              <w:t xml:space="preserve"> in sexual misconduct cases where the SG underlines the serious nature of sexual harassment, sexual misconduct and abuse of power), the tribunal should properly consider these submissions and address them in their reasoning </w:t>
            </w:r>
            <w:r>
              <w:rPr>
                <w:rFonts w:cs="Calibri Light"/>
                <w:lang w:eastAsia="en-GB"/>
              </w:rPr>
              <w:lastRenderedPageBreak/>
              <w:t>so that it is sufficiently clear from the tribunal’s reasons why the submissions on the SG failed</w:t>
            </w:r>
            <w:bookmarkEnd w:id="0"/>
            <w:r>
              <w:rPr>
                <w:rFonts w:cs="Calibri Light"/>
                <w:lang w:eastAsia="en-GB"/>
              </w:rPr>
              <w:t xml:space="preserve">, notwithstanding the fact that the sanctions stage has not yet been reached. </w:t>
            </w:r>
          </w:p>
          <w:p w14:paraId="0B3D20C9" w14:textId="77777777" w:rsidR="003E5CD3" w:rsidRDefault="003E5CD3" w:rsidP="003E5CD3"/>
        </w:tc>
      </w:tr>
      <w:tr w:rsidR="00D323C5" w:rsidRPr="00360856" w14:paraId="639DB88C" w14:textId="77777777" w:rsidTr="00F14C9B">
        <w:trPr>
          <w:trHeight w:val="51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DAE0E90" w14:textId="3D5BB4D9" w:rsidR="00D323C5" w:rsidRDefault="00D323C5" w:rsidP="003E5CD3">
            <w:pPr>
              <w:rPr>
                <w:rFonts w:cs="Calibri Light"/>
                <w:bCs/>
              </w:rPr>
            </w:pPr>
            <w:r>
              <w:rPr>
                <w:rFonts w:cs="Calibri Light"/>
                <w:bCs/>
              </w:rPr>
              <w:lastRenderedPageBreak/>
              <w:t>A03 25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9719490" w14:textId="69B573B7" w:rsidR="00D323C5" w:rsidRDefault="00D323C5" w:rsidP="003E5CD3">
            <w:pPr>
              <w:rPr>
                <w:rFonts w:cs="Calibri Light"/>
                <w:bCs/>
              </w:rPr>
            </w:pPr>
            <w:r>
              <w:rPr>
                <w:rFonts w:cs="Calibri Light"/>
                <w:bCs/>
              </w:rPr>
              <w:t>11 March 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55D21AB" w14:textId="6D43517A" w:rsidR="00D323C5" w:rsidRPr="00452C6C" w:rsidRDefault="00D323C5" w:rsidP="003E5CD3">
            <w:pPr>
              <w:rPr>
                <w:rFonts w:cs="Calibri Light"/>
                <w:bCs/>
              </w:rPr>
            </w:pPr>
            <w:r>
              <w:rPr>
                <w:rFonts w:cs="Calibri Light"/>
                <w:bCs/>
              </w:rPr>
              <w:t xml:space="preserve">GDC v Aga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DA6B7E9" w14:textId="77777777" w:rsidR="00D323C5" w:rsidRDefault="001C0B92" w:rsidP="003E5CD3">
            <w:r>
              <w:t>Learning points</w:t>
            </w:r>
          </w:p>
          <w:p w14:paraId="7F4A68E6" w14:textId="77777777" w:rsidR="001C0B92" w:rsidRDefault="001C0B92" w:rsidP="001C0B92">
            <w:pPr>
              <w:pStyle w:val="ListParagraph"/>
              <w:numPr>
                <w:ilvl w:val="0"/>
                <w:numId w:val="54"/>
              </w:numPr>
            </w:pPr>
            <w:r w:rsidRPr="001C0B92">
              <w:t>A direction for suspension and an order for immediate suspension are distinct; the former is a direction, and the latter is an order.</w:t>
            </w:r>
          </w:p>
          <w:p w14:paraId="0BBB176B" w14:textId="293F5FC9" w:rsidR="001C0B92" w:rsidRPr="001C0B92" w:rsidRDefault="001C0B92" w:rsidP="001C0B92">
            <w:pPr>
              <w:pStyle w:val="ListParagraph"/>
              <w:numPr>
                <w:ilvl w:val="0"/>
                <w:numId w:val="54"/>
              </w:numPr>
              <w:rPr>
                <w:rFonts w:cs="Calibri Light"/>
              </w:rPr>
            </w:pPr>
            <w:r w:rsidRPr="001C0B92">
              <w:rPr>
                <w:rFonts w:cs="Calibri Light"/>
                <w:lang w:eastAsia="en-GB"/>
              </w:rPr>
              <w:t xml:space="preserve">There is no provision for an immediate order of suspension to be ‘set off’ against the substantive sanction of suspension. A substantive order therefore runs consecutively to an immediate order, as opposed to concurrently </w:t>
            </w:r>
          </w:p>
          <w:p w14:paraId="00E1704C" w14:textId="746CAEC2" w:rsidR="001C0B92" w:rsidRPr="00452C6C" w:rsidRDefault="001C0B92" w:rsidP="001C0B92">
            <w:pPr>
              <w:pStyle w:val="ListParagraph"/>
              <w:numPr>
                <w:ilvl w:val="0"/>
                <w:numId w:val="54"/>
              </w:numPr>
            </w:pPr>
            <w:r>
              <w:t>Background on the high court appeal, GDC appealing this decision, Grounds of Appeal to the Court of Appeal, and judgement of the Court of Appeal</w:t>
            </w:r>
          </w:p>
        </w:tc>
      </w:tr>
      <w:tr w:rsidR="000650C4" w:rsidRPr="00360856" w14:paraId="2A801CBC" w14:textId="77777777" w:rsidTr="00F14C9B">
        <w:trPr>
          <w:trHeight w:val="51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89FF6AA" w14:textId="5BF3F184" w:rsidR="000650C4" w:rsidRDefault="000650C4" w:rsidP="003E5CD3">
            <w:pPr>
              <w:rPr>
                <w:rFonts w:cs="Calibri Light"/>
                <w:bCs/>
              </w:rPr>
            </w:pPr>
            <w:r>
              <w:rPr>
                <w:rFonts w:cs="Calibri Light"/>
                <w:bCs/>
              </w:rPr>
              <w:t>AO4 25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BC69A5F" w14:textId="65DC80DF" w:rsidR="000650C4" w:rsidRDefault="000650C4" w:rsidP="003E5CD3">
            <w:pPr>
              <w:rPr>
                <w:rFonts w:cs="Calibri Light"/>
                <w:bCs/>
              </w:rPr>
            </w:pPr>
            <w:r>
              <w:rPr>
                <w:rFonts w:cs="Calibri Light"/>
                <w:bCs/>
              </w:rPr>
              <w:t>28 April 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1CF459" w14:textId="52F5B21D" w:rsidR="000650C4" w:rsidRDefault="000650C4" w:rsidP="003E5CD3">
            <w:pPr>
              <w:rPr>
                <w:rFonts w:cs="Calibri Light"/>
                <w:bCs/>
              </w:rPr>
            </w:pPr>
            <w:r>
              <w:rPr>
                <w:rFonts w:cs="Calibri Light"/>
                <w:bCs/>
              </w:rPr>
              <w:t>Quarterly Appeal Circular Q1 2025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CD64C44" w14:textId="0438952A" w:rsidR="000650C4" w:rsidRPr="00540C60" w:rsidRDefault="000650C4" w:rsidP="003E5CD3">
            <w:pPr>
              <w:rPr>
                <w:rFonts w:asciiTheme="minorHAnsi" w:hAnsiTheme="minorHAnsi" w:cstheme="minorHAnsi"/>
              </w:rPr>
            </w:pPr>
            <w:r w:rsidRPr="00540C60">
              <w:rPr>
                <w:rFonts w:asciiTheme="minorHAnsi" w:hAnsiTheme="minorHAnsi" w:cstheme="minorHAnsi"/>
              </w:rPr>
              <w:t>Learning points from recent appeals in the first quarter of 2025:</w:t>
            </w:r>
          </w:p>
          <w:p w14:paraId="233ACA56" w14:textId="098BFA46" w:rsidR="000650C4" w:rsidRPr="00540C60" w:rsidRDefault="00540C60" w:rsidP="00540C60">
            <w:pPr>
              <w:pStyle w:val="ListParagraph"/>
              <w:numPr>
                <w:ilvl w:val="0"/>
                <w:numId w:val="56"/>
              </w:numPr>
              <w:rPr>
                <w:rFonts w:asciiTheme="minorHAnsi" w:hAnsiTheme="minorHAnsi" w:cstheme="minorHAnsi"/>
              </w:rPr>
            </w:pPr>
            <w:r w:rsidRPr="00540C60">
              <w:rPr>
                <w:rFonts w:asciiTheme="minorHAnsi" w:hAnsiTheme="minorHAnsi" w:cstheme="minorHAnsi"/>
              </w:rPr>
              <w:t>Facts:</w:t>
            </w:r>
          </w:p>
          <w:p w14:paraId="7E28EF2E" w14:textId="6A21D03E" w:rsidR="000650C4" w:rsidRPr="00540C60" w:rsidRDefault="000650C4" w:rsidP="00540C60">
            <w:pPr>
              <w:pStyle w:val="ListParagraph"/>
              <w:numPr>
                <w:ilvl w:val="1"/>
                <w:numId w:val="56"/>
              </w:numPr>
              <w:rPr>
                <w:rStyle w:val="Hyperlink"/>
                <w:rFonts w:asciiTheme="minorHAnsi" w:eastAsiaTheme="minorHAnsi" w:hAnsiTheme="minorHAnsi" w:cstheme="minorHAnsi"/>
              </w:rPr>
            </w:pPr>
            <w:r w:rsidRPr="00540C60">
              <w:rPr>
                <w:rFonts w:asciiTheme="minorHAnsi" w:eastAsiaTheme="minorHAnsi" w:hAnsiTheme="minorHAnsi" w:cstheme="minorHAnsi"/>
              </w:rPr>
              <w:fldChar w:fldCharType="begin"/>
            </w:r>
            <w:r w:rsidRPr="00540C60">
              <w:rPr>
                <w:rFonts w:asciiTheme="minorHAnsi" w:eastAsiaTheme="minorHAnsi" w:hAnsiTheme="minorHAnsi" w:cstheme="minorHAnsi"/>
              </w:rPr>
              <w:instrText>HYPERLINK "https://caselaw.nationalarchives.gov.uk/ewhc/admin/2025/373"</w:instrText>
            </w:r>
            <w:r w:rsidRPr="00540C60">
              <w:rPr>
                <w:rFonts w:asciiTheme="minorHAnsi" w:eastAsiaTheme="minorHAnsi" w:hAnsiTheme="minorHAnsi" w:cstheme="minorHAnsi"/>
              </w:rPr>
            </w:r>
            <w:r w:rsidRPr="00540C60">
              <w:rPr>
                <w:rFonts w:asciiTheme="minorHAnsi" w:eastAsiaTheme="minorHAnsi" w:hAnsiTheme="minorHAnsi" w:cstheme="minorHAnsi"/>
              </w:rPr>
              <w:fldChar w:fldCharType="separate"/>
            </w:r>
            <w:r w:rsidRPr="00540C60">
              <w:rPr>
                <w:rStyle w:val="Hyperlink"/>
                <w:rFonts w:asciiTheme="minorHAnsi" w:eastAsiaTheme="minorHAnsi" w:hAnsiTheme="minorHAnsi" w:cstheme="minorHAnsi"/>
              </w:rPr>
              <w:t>Hindle v The Nursing and Midwifery Council [2025] EWHC 373 (Admin)</w:t>
            </w:r>
            <w:r w:rsidR="00FB2DDD" w:rsidRPr="00540C60">
              <w:rPr>
                <w:rStyle w:val="Hyperlink"/>
                <w:rFonts w:asciiTheme="minorHAnsi" w:eastAsiaTheme="minorHAnsi" w:hAnsiTheme="minorHAnsi" w:cstheme="minorHAnsi"/>
              </w:rPr>
              <w:t xml:space="preserve"> </w:t>
            </w:r>
          </w:p>
          <w:p w14:paraId="2C4C0B7B" w14:textId="77777777" w:rsidR="00540C60" w:rsidRPr="00540C60" w:rsidRDefault="000650C4" w:rsidP="00540C60">
            <w:pPr>
              <w:pStyle w:val="ListParagraph"/>
              <w:numPr>
                <w:ilvl w:val="1"/>
                <w:numId w:val="56"/>
              </w:numPr>
              <w:rPr>
                <w:rFonts w:asciiTheme="minorHAnsi" w:hAnsiTheme="minorHAnsi" w:cstheme="minorHAnsi"/>
              </w:rPr>
            </w:pPr>
            <w:r w:rsidRPr="00540C60">
              <w:rPr>
                <w:rFonts w:asciiTheme="minorHAnsi" w:eastAsiaTheme="minorHAnsi" w:hAnsiTheme="minorHAnsi" w:cstheme="minorHAnsi"/>
              </w:rPr>
              <w:fldChar w:fldCharType="end"/>
            </w:r>
            <w:r w:rsidR="00FB2DDD" w:rsidRPr="00540C60">
              <w:rPr>
                <w:rFonts w:asciiTheme="minorHAnsi" w:hAnsiTheme="minorHAnsi" w:cstheme="minorHAnsi"/>
              </w:rPr>
              <w:t xml:space="preserve"> </w:t>
            </w:r>
            <w:hyperlink r:id="rId12" w:history="1">
              <w:proofErr w:type="spellStart"/>
              <w:r w:rsidR="00FB2DDD" w:rsidRPr="00540C60">
                <w:rPr>
                  <w:rStyle w:val="Hyperlink"/>
                  <w:rFonts w:asciiTheme="minorHAnsi" w:eastAsiaTheme="minorHAnsi" w:hAnsiTheme="minorHAnsi" w:cstheme="minorHAnsi"/>
                </w:rPr>
                <w:t>Demanya</w:t>
              </w:r>
              <w:proofErr w:type="spellEnd"/>
              <w:r w:rsidR="00FB2DDD" w:rsidRPr="00540C60">
                <w:rPr>
                  <w:rStyle w:val="Hyperlink"/>
                  <w:rFonts w:asciiTheme="minorHAnsi" w:eastAsiaTheme="minorHAnsi" w:hAnsiTheme="minorHAnsi" w:cstheme="minorHAnsi"/>
                </w:rPr>
                <w:t xml:space="preserve"> v The General Medical Council [2025] EWHC 247 (Admin)</w:t>
              </w:r>
            </w:hyperlink>
          </w:p>
          <w:p w14:paraId="4C929D37" w14:textId="3385BA62" w:rsidR="00FB2DDD" w:rsidRPr="00540C60" w:rsidRDefault="00FB2DDD" w:rsidP="00540C60">
            <w:pPr>
              <w:pStyle w:val="ListParagraph"/>
              <w:numPr>
                <w:ilvl w:val="1"/>
                <w:numId w:val="56"/>
              </w:numPr>
              <w:rPr>
                <w:rStyle w:val="Hyperlink"/>
                <w:rFonts w:asciiTheme="minorHAnsi" w:hAnsiTheme="minorHAnsi" w:cstheme="minorHAnsi"/>
                <w:color w:val="000000"/>
                <w:u w:val="none"/>
              </w:rPr>
            </w:pPr>
            <w:r w:rsidRPr="00540C60">
              <w:rPr>
                <w:rFonts w:asciiTheme="minorHAnsi" w:eastAsiaTheme="minorHAnsi" w:hAnsiTheme="minorHAnsi" w:cstheme="minorHAnsi"/>
              </w:rPr>
              <w:fldChar w:fldCharType="begin"/>
            </w:r>
            <w:r w:rsidRPr="00540C60">
              <w:rPr>
                <w:rFonts w:asciiTheme="minorHAnsi" w:eastAsiaTheme="minorHAnsi" w:hAnsiTheme="minorHAnsi" w:cstheme="minorHAnsi"/>
              </w:rPr>
              <w:instrText>HYPERLINK "https://caselaw.nationalarchives.gov.uk/ewhc/admin/2025/242"</w:instrText>
            </w:r>
            <w:r w:rsidRPr="00540C60">
              <w:rPr>
                <w:rFonts w:asciiTheme="minorHAnsi" w:eastAsiaTheme="minorHAnsi" w:hAnsiTheme="minorHAnsi" w:cstheme="minorHAnsi"/>
              </w:rPr>
            </w:r>
            <w:r w:rsidRPr="00540C60">
              <w:rPr>
                <w:rFonts w:asciiTheme="minorHAnsi" w:eastAsiaTheme="minorHAnsi" w:hAnsiTheme="minorHAnsi" w:cstheme="minorHAnsi"/>
              </w:rPr>
              <w:fldChar w:fldCharType="separate"/>
            </w:r>
            <w:r w:rsidRPr="00540C60">
              <w:rPr>
                <w:rStyle w:val="Hyperlink"/>
                <w:rFonts w:asciiTheme="minorHAnsi" w:eastAsiaTheme="minorHAnsi" w:hAnsiTheme="minorHAnsi" w:cstheme="minorHAnsi"/>
              </w:rPr>
              <w:t>Dr ABC v The General Medical Council [2025] EWHC 242 (Admin)</w:t>
            </w:r>
          </w:p>
          <w:p w14:paraId="7E0BA477" w14:textId="7257CDF7" w:rsidR="00540C60" w:rsidRPr="00540C60" w:rsidRDefault="00FB2DDD" w:rsidP="00540C60">
            <w:pPr>
              <w:pStyle w:val="ListParagraph"/>
              <w:numPr>
                <w:ilvl w:val="0"/>
                <w:numId w:val="56"/>
              </w:numPr>
              <w:rPr>
                <w:rFonts w:asciiTheme="minorHAnsi" w:hAnsiTheme="minorHAnsi" w:cstheme="minorHAnsi"/>
              </w:rPr>
            </w:pPr>
            <w:r w:rsidRPr="00540C60">
              <w:rPr>
                <w:rFonts w:asciiTheme="minorHAnsi" w:eastAsiaTheme="minorHAnsi" w:hAnsiTheme="minorHAnsi" w:cstheme="minorHAnsi"/>
              </w:rPr>
              <w:fldChar w:fldCharType="end"/>
            </w:r>
            <w:r w:rsidR="00540C60" w:rsidRPr="00540C60">
              <w:rPr>
                <w:rFonts w:asciiTheme="minorHAnsi" w:eastAsiaTheme="minorHAnsi" w:hAnsiTheme="minorHAnsi" w:cstheme="minorHAnsi"/>
              </w:rPr>
              <w:t>Impairment &amp; Sanction:</w:t>
            </w:r>
          </w:p>
          <w:p w14:paraId="1C2DDEF8" w14:textId="58C0F88A" w:rsidR="00FB2DDD" w:rsidRPr="00540C60" w:rsidRDefault="00FB2DDD" w:rsidP="00540C60">
            <w:pPr>
              <w:pStyle w:val="ListParagraph"/>
              <w:numPr>
                <w:ilvl w:val="1"/>
                <w:numId w:val="56"/>
              </w:numPr>
              <w:rPr>
                <w:rFonts w:asciiTheme="minorHAnsi" w:hAnsiTheme="minorHAnsi" w:cstheme="minorHAnsi"/>
              </w:rPr>
            </w:pPr>
            <w:hyperlink r:id="rId13" w:history="1">
              <w:r w:rsidRPr="00540C60">
                <w:rPr>
                  <w:rStyle w:val="Hyperlink"/>
                  <w:rFonts w:asciiTheme="minorHAnsi" w:hAnsiTheme="minorHAnsi" w:cstheme="minorHAnsi"/>
                </w:rPr>
                <w:t>Benn v The General Medical Council [2025] EWHC 87 (Admin)</w:t>
              </w:r>
            </w:hyperlink>
          </w:p>
          <w:p w14:paraId="62659F11" w14:textId="730E660D" w:rsidR="00FB2DDD" w:rsidRPr="00540C60" w:rsidRDefault="00FB2DDD" w:rsidP="00540C60">
            <w:pPr>
              <w:pStyle w:val="ListParagraph"/>
              <w:numPr>
                <w:ilvl w:val="1"/>
                <w:numId w:val="56"/>
              </w:numPr>
              <w:spacing w:before="120" w:after="120" w:line="240" w:lineRule="auto"/>
              <w:rPr>
                <w:rStyle w:val="Hyperlink"/>
                <w:rFonts w:asciiTheme="minorHAnsi" w:eastAsiaTheme="minorHAnsi" w:hAnsiTheme="minorHAnsi" w:cstheme="minorHAnsi"/>
                <w:color w:val="000000"/>
                <w:u w:val="none"/>
              </w:rPr>
            </w:pPr>
            <w:hyperlink r:id="rId14" w:history="1">
              <w:r w:rsidRPr="00540C60">
                <w:rPr>
                  <w:rStyle w:val="Hyperlink"/>
                  <w:rFonts w:asciiTheme="minorHAnsi" w:eastAsiaTheme="minorHAnsi" w:hAnsiTheme="minorHAnsi" w:cstheme="minorHAnsi"/>
                </w:rPr>
                <w:t xml:space="preserve"> </w:t>
              </w:r>
              <w:bookmarkStart w:id="2" w:name="_Hlk194493064"/>
              <w:r w:rsidRPr="00540C60">
                <w:rPr>
                  <w:rStyle w:val="Hyperlink"/>
                  <w:rFonts w:asciiTheme="minorHAnsi" w:eastAsiaTheme="minorHAnsi" w:hAnsiTheme="minorHAnsi" w:cstheme="minorHAnsi"/>
                </w:rPr>
                <w:t>Adebayo v The Nursing and Midwifery Council [2025] EWHC 315 (Admin)</w:t>
              </w:r>
              <w:bookmarkEnd w:id="2"/>
            </w:hyperlink>
          </w:p>
          <w:p w14:paraId="4067C502" w14:textId="1CD11ED9" w:rsidR="00540C60" w:rsidRPr="00540C60" w:rsidRDefault="00540C60" w:rsidP="00540C60">
            <w:pPr>
              <w:pStyle w:val="ListParagraph"/>
              <w:numPr>
                <w:ilvl w:val="1"/>
                <w:numId w:val="56"/>
              </w:numPr>
              <w:spacing w:before="120" w:after="120" w:line="240" w:lineRule="auto"/>
              <w:rPr>
                <w:rStyle w:val="Hyperlink"/>
                <w:rFonts w:asciiTheme="minorHAnsi" w:eastAsiaTheme="minorHAnsi" w:hAnsiTheme="minorHAnsi" w:cstheme="minorHAnsi"/>
                <w:color w:val="000000"/>
                <w:u w:val="none"/>
              </w:rPr>
            </w:pPr>
            <w:hyperlink r:id="rId15" w:history="1">
              <w:r w:rsidRPr="00540C60">
                <w:rPr>
                  <w:rStyle w:val="Hyperlink"/>
                  <w:rFonts w:asciiTheme="minorHAnsi" w:eastAsiaTheme="minorHAnsi" w:hAnsiTheme="minorHAnsi" w:cstheme="minorHAnsi"/>
                </w:rPr>
                <w:t xml:space="preserve"> Sengupta v General Medical Council [2025] EWHC 123 (Admin)</w:t>
              </w:r>
            </w:hyperlink>
          </w:p>
          <w:p w14:paraId="3FD456DC" w14:textId="2A6AB5B0" w:rsidR="00540C60" w:rsidRPr="00540C60" w:rsidRDefault="00540C60" w:rsidP="00540C60">
            <w:pPr>
              <w:pStyle w:val="ListParagraph"/>
              <w:numPr>
                <w:ilvl w:val="1"/>
                <w:numId w:val="56"/>
              </w:numPr>
              <w:spacing w:line="252" w:lineRule="auto"/>
              <w:rPr>
                <w:rFonts w:asciiTheme="minorHAnsi" w:eastAsiaTheme="minorHAnsi" w:hAnsiTheme="minorHAnsi" w:cstheme="minorHAnsi"/>
              </w:rPr>
            </w:pPr>
            <w:hyperlink r:id="rId16" w:history="1">
              <w:proofErr w:type="spellStart"/>
              <w:r w:rsidRPr="00540C60">
                <w:rPr>
                  <w:rStyle w:val="Hyperlink"/>
                  <w:rFonts w:asciiTheme="minorHAnsi" w:eastAsiaTheme="minorHAnsi" w:hAnsiTheme="minorHAnsi" w:cstheme="minorHAnsi"/>
                </w:rPr>
                <w:t>Demanya</w:t>
              </w:r>
              <w:proofErr w:type="spellEnd"/>
              <w:r w:rsidRPr="00540C60">
                <w:rPr>
                  <w:rStyle w:val="Hyperlink"/>
                  <w:rFonts w:asciiTheme="minorHAnsi" w:eastAsiaTheme="minorHAnsi" w:hAnsiTheme="minorHAnsi" w:cstheme="minorHAnsi"/>
                </w:rPr>
                <w:t xml:space="preserve"> v The General Medical Council [2025] EWHC 247 (Admin). </w:t>
              </w:r>
            </w:hyperlink>
          </w:p>
          <w:p w14:paraId="50402F55" w14:textId="090FD7BE" w:rsidR="00540C60" w:rsidRPr="00540C60" w:rsidRDefault="00540C60" w:rsidP="00540C60">
            <w:pPr>
              <w:pStyle w:val="ListParagraph"/>
              <w:numPr>
                <w:ilvl w:val="1"/>
                <w:numId w:val="56"/>
              </w:numPr>
              <w:spacing w:line="252" w:lineRule="auto"/>
              <w:rPr>
                <w:rFonts w:asciiTheme="minorHAnsi" w:eastAsiaTheme="minorHAnsi" w:hAnsiTheme="minorHAnsi" w:cstheme="minorHAnsi"/>
              </w:rPr>
            </w:pPr>
            <w:hyperlink r:id="rId17" w:history="1">
              <w:r w:rsidRPr="00540C60">
                <w:rPr>
                  <w:rStyle w:val="Hyperlink"/>
                  <w:rFonts w:asciiTheme="minorHAnsi" w:eastAsiaTheme="minorHAnsi" w:hAnsiTheme="minorHAnsi" w:cstheme="minorHAnsi"/>
                </w:rPr>
                <w:t>The Commissioner of Police of the Metropolis, R (on the application of) v Police Misconduct Tribunal [2025] EWHC 93 (Admin)</w:t>
              </w:r>
            </w:hyperlink>
            <w:r w:rsidRPr="00540C60">
              <w:rPr>
                <w:rFonts w:asciiTheme="minorHAnsi" w:eastAsiaTheme="minorHAnsi" w:hAnsiTheme="minorHAnsi" w:cstheme="minorHAnsi"/>
              </w:rPr>
              <w:t xml:space="preserve"> and </w:t>
            </w:r>
            <w:hyperlink r:id="rId18" w:history="1">
              <w:r w:rsidRPr="00540C60">
                <w:rPr>
                  <w:rStyle w:val="Hyperlink"/>
                  <w:rFonts w:asciiTheme="minorHAnsi" w:eastAsiaTheme="minorHAnsi" w:hAnsiTheme="minorHAnsi" w:cstheme="minorHAnsi"/>
                </w:rPr>
                <w:t xml:space="preserve">O'Connor, R (on the application of) v Panel Chair (Police Misconduct Panel) [2025] EWCA </w:t>
              </w:r>
              <w:proofErr w:type="spellStart"/>
              <w:r w:rsidRPr="00540C60">
                <w:rPr>
                  <w:rStyle w:val="Hyperlink"/>
                  <w:rFonts w:asciiTheme="minorHAnsi" w:eastAsiaTheme="minorHAnsi" w:hAnsiTheme="minorHAnsi" w:cstheme="minorHAnsi"/>
                </w:rPr>
                <w:t>Civ</w:t>
              </w:r>
              <w:proofErr w:type="spellEnd"/>
              <w:r w:rsidRPr="00540C60">
                <w:rPr>
                  <w:rStyle w:val="Hyperlink"/>
                  <w:rFonts w:asciiTheme="minorHAnsi" w:eastAsiaTheme="minorHAnsi" w:hAnsiTheme="minorHAnsi" w:cstheme="minorHAnsi"/>
                </w:rPr>
                <w:t xml:space="preserve"> 27</w:t>
              </w:r>
            </w:hyperlink>
          </w:p>
          <w:p w14:paraId="1A10B4F4" w14:textId="77777777" w:rsidR="00540C60" w:rsidRPr="00540C60" w:rsidRDefault="00540C60" w:rsidP="00540C60">
            <w:pPr>
              <w:pStyle w:val="ListParagraph"/>
              <w:numPr>
                <w:ilvl w:val="1"/>
                <w:numId w:val="56"/>
              </w:numPr>
              <w:spacing w:line="252" w:lineRule="auto"/>
              <w:rPr>
                <w:rStyle w:val="Hyperlink"/>
                <w:rFonts w:asciiTheme="minorHAnsi" w:hAnsiTheme="minorHAnsi" w:cstheme="minorHAnsi"/>
                <w:color w:val="000000"/>
                <w:u w:val="none"/>
              </w:rPr>
            </w:pPr>
            <w:r w:rsidRPr="00540C60">
              <w:rPr>
                <w:rFonts w:asciiTheme="minorHAnsi" w:eastAsiaTheme="minorHAnsi" w:hAnsiTheme="minorHAnsi" w:cstheme="minorHAnsi"/>
              </w:rPr>
              <w:fldChar w:fldCharType="begin"/>
            </w:r>
            <w:r w:rsidRPr="00540C60">
              <w:rPr>
                <w:rFonts w:asciiTheme="minorHAnsi" w:eastAsiaTheme="minorHAnsi" w:hAnsiTheme="minorHAnsi" w:cstheme="minorHAnsi"/>
              </w:rPr>
              <w:instrText>HYPERLINK "https://caselaw.nationalarchives.gov.uk/ewca/civ/2025/27"</w:instrText>
            </w:r>
            <w:r w:rsidRPr="00540C60">
              <w:rPr>
                <w:rFonts w:asciiTheme="minorHAnsi" w:eastAsiaTheme="minorHAnsi" w:hAnsiTheme="minorHAnsi" w:cstheme="minorHAnsi"/>
              </w:rPr>
            </w:r>
            <w:r w:rsidRPr="00540C60">
              <w:rPr>
                <w:rFonts w:asciiTheme="minorHAnsi" w:eastAsiaTheme="minorHAnsi" w:hAnsiTheme="minorHAnsi" w:cstheme="minorHAnsi"/>
              </w:rPr>
              <w:fldChar w:fldCharType="separate"/>
            </w:r>
            <w:r w:rsidRPr="00540C60">
              <w:rPr>
                <w:rStyle w:val="Hyperlink"/>
                <w:rFonts w:asciiTheme="minorHAnsi" w:eastAsiaTheme="minorHAnsi" w:hAnsiTheme="minorHAnsi" w:cstheme="minorHAnsi"/>
              </w:rPr>
              <w:t xml:space="preserve">O'Connor, R (on the application of) v Tribunal Chair (Police Misconduct Tribunal) [2025] EWCA </w:t>
            </w:r>
            <w:proofErr w:type="spellStart"/>
            <w:r w:rsidRPr="00540C60">
              <w:rPr>
                <w:rStyle w:val="Hyperlink"/>
                <w:rFonts w:asciiTheme="minorHAnsi" w:eastAsiaTheme="minorHAnsi" w:hAnsiTheme="minorHAnsi" w:cstheme="minorHAnsi"/>
              </w:rPr>
              <w:t>Civ</w:t>
            </w:r>
            <w:proofErr w:type="spellEnd"/>
            <w:r w:rsidRPr="00540C60">
              <w:rPr>
                <w:rStyle w:val="Hyperlink"/>
                <w:rFonts w:asciiTheme="minorHAnsi" w:eastAsiaTheme="minorHAnsi" w:hAnsiTheme="minorHAnsi" w:cstheme="minorHAnsi"/>
              </w:rPr>
              <w:t xml:space="preserve"> 27</w:t>
            </w:r>
          </w:p>
          <w:p w14:paraId="2BB25ECC" w14:textId="77777777" w:rsidR="00FB2DDD" w:rsidRPr="00540C60" w:rsidRDefault="00540C60" w:rsidP="00540C60">
            <w:pPr>
              <w:pStyle w:val="ListParagraph"/>
              <w:numPr>
                <w:ilvl w:val="0"/>
                <w:numId w:val="56"/>
              </w:numPr>
              <w:rPr>
                <w:rFonts w:asciiTheme="minorHAnsi" w:hAnsiTheme="minorHAnsi" w:cstheme="minorHAnsi"/>
              </w:rPr>
            </w:pPr>
            <w:r w:rsidRPr="00540C60">
              <w:rPr>
                <w:rFonts w:asciiTheme="minorHAnsi" w:eastAsiaTheme="minorHAnsi" w:hAnsiTheme="minorHAnsi" w:cstheme="minorHAnsi"/>
              </w:rPr>
              <w:fldChar w:fldCharType="end"/>
            </w:r>
            <w:r w:rsidRPr="00540C60">
              <w:rPr>
                <w:rFonts w:asciiTheme="minorHAnsi" w:eastAsiaTheme="minorHAnsi" w:hAnsiTheme="minorHAnsi" w:cstheme="minorHAnsi"/>
              </w:rPr>
              <w:t>Review hearings:</w:t>
            </w:r>
          </w:p>
          <w:p w14:paraId="4AF8AC7D" w14:textId="4AA3F51D" w:rsidR="00540C60" w:rsidRPr="00540C60" w:rsidRDefault="00540C60" w:rsidP="00540C60">
            <w:pPr>
              <w:pStyle w:val="ListParagraph"/>
              <w:numPr>
                <w:ilvl w:val="1"/>
                <w:numId w:val="56"/>
              </w:numPr>
              <w:spacing w:before="120" w:after="120" w:line="240" w:lineRule="auto"/>
              <w:rPr>
                <w:rFonts w:asciiTheme="minorHAnsi" w:eastAsiaTheme="minorHAnsi" w:hAnsiTheme="minorHAnsi" w:cstheme="minorHAnsi"/>
              </w:rPr>
            </w:pPr>
            <w:hyperlink r:id="rId19" w:history="1">
              <w:r w:rsidRPr="00540C60">
                <w:rPr>
                  <w:rStyle w:val="Hyperlink"/>
                  <w:rFonts w:asciiTheme="minorHAnsi" w:eastAsiaTheme="minorHAnsi" w:hAnsiTheme="minorHAnsi" w:cstheme="minorHAnsi"/>
                </w:rPr>
                <w:t>Professional Standards Authority for Health and Social Care v Health and Care Professions Council &amp; Anor [2025] EWHC 164 (Admin)</w:t>
              </w:r>
            </w:hyperlink>
          </w:p>
          <w:bookmarkStart w:id="3" w:name="_Hlk194494508"/>
          <w:p w14:paraId="4AD6B8E6" w14:textId="08FF3707" w:rsidR="00540C60" w:rsidRPr="00540C60" w:rsidRDefault="00540C60" w:rsidP="00540C60">
            <w:pPr>
              <w:pStyle w:val="ListParagraph"/>
              <w:numPr>
                <w:ilvl w:val="1"/>
                <w:numId w:val="56"/>
              </w:numPr>
              <w:spacing w:line="240" w:lineRule="auto"/>
              <w:rPr>
                <w:rFonts w:asciiTheme="minorHAnsi" w:eastAsiaTheme="minorHAnsi" w:hAnsiTheme="minorHAnsi" w:cstheme="minorHAnsi"/>
              </w:rPr>
            </w:pPr>
            <w:r w:rsidRPr="00540C60">
              <w:rPr>
                <w:rFonts w:asciiTheme="minorHAnsi" w:eastAsiaTheme="minorHAnsi" w:hAnsiTheme="minorHAnsi" w:cstheme="minorHAnsi"/>
              </w:rPr>
              <w:fldChar w:fldCharType="begin"/>
            </w:r>
            <w:r w:rsidRPr="00540C60">
              <w:rPr>
                <w:rFonts w:asciiTheme="minorHAnsi" w:eastAsiaTheme="minorHAnsi" w:hAnsiTheme="minorHAnsi" w:cstheme="minorHAnsi"/>
              </w:rPr>
              <w:instrText>HYPERLINK "https://caselaw.nationalarchives.gov.uk/ewhc/admin/2025/474?query=Myhill"</w:instrText>
            </w:r>
            <w:r w:rsidRPr="00540C60">
              <w:rPr>
                <w:rFonts w:asciiTheme="minorHAnsi" w:eastAsiaTheme="minorHAnsi" w:hAnsiTheme="minorHAnsi" w:cstheme="minorHAnsi"/>
              </w:rPr>
            </w:r>
            <w:r w:rsidRPr="00540C60">
              <w:rPr>
                <w:rFonts w:asciiTheme="minorHAnsi" w:eastAsiaTheme="minorHAnsi" w:hAnsiTheme="minorHAnsi" w:cstheme="minorHAnsi"/>
              </w:rPr>
              <w:fldChar w:fldCharType="separate"/>
            </w:r>
            <w:r w:rsidRPr="00540C60">
              <w:rPr>
                <w:rStyle w:val="Hyperlink"/>
                <w:rFonts w:asciiTheme="minorHAnsi" w:eastAsiaTheme="minorHAnsi" w:hAnsiTheme="minorHAnsi" w:cstheme="minorHAnsi"/>
              </w:rPr>
              <w:t>Myhill v General Medical Council [2025] EWHC 474 (Admin)</w:t>
            </w:r>
            <w:bookmarkEnd w:id="3"/>
            <w:r w:rsidRPr="00540C60">
              <w:rPr>
                <w:rFonts w:asciiTheme="minorHAnsi" w:eastAsiaTheme="minorHAnsi" w:hAnsiTheme="minorHAnsi" w:cstheme="minorHAnsi"/>
              </w:rPr>
              <w:fldChar w:fldCharType="end"/>
            </w:r>
          </w:p>
        </w:tc>
      </w:tr>
      <w:tr w:rsidR="001D51D5" w:rsidRPr="00360856" w14:paraId="2FE489EA" w14:textId="77777777" w:rsidTr="00F14C9B">
        <w:trPr>
          <w:trHeight w:val="51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60CF19B" w14:textId="0A8D718A" w:rsidR="001D51D5" w:rsidRDefault="001D51D5" w:rsidP="001D51D5">
            <w:pPr>
              <w:rPr>
                <w:rFonts w:cs="Calibri Light"/>
                <w:bCs/>
              </w:rPr>
            </w:pPr>
            <w:r>
              <w:rPr>
                <w:rFonts w:cs="Calibri Light"/>
                <w:bCs/>
              </w:rPr>
              <w:lastRenderedPageBreak/>
              <w:t>AO5 25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99D7505" w14:textId="1E29E4AF" w:rsidR="001D51D5" w:rsidRDefault="001D51D5" w:rsidP="001D51D5">
            <w:pPr>
              <w:rPr>
                <w:rFonts w:cs="Calibri Light"/>
                <w:bCs/>
              </w:rPr>
            </w:pPr>
            <w:r>
              <w:rPr>
                <w:rFonts w:cs="Calibri Light"/>
                <w:bCs/>
              </w:rPr>
              <w:t>14 May 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3BC1D4" w14:textId="77777777" w:rsidR="001D51D5" w:rsidRPr="001D51D5" w:rsidRDefault="001D51D5" w:rsidP="001D51D5">
            <w:pPr>
              <w:pStyle w:val="MPTSNewBullet"/>
              <w:rPr>
                <w:rFonts w:cs="Calibri Light"/>
                <w:bCs/>
                <w:lang w:eastAsia="en-US"/>
              </w:rPr>
            </w:pPr>
            <w:r w:rsidRPr="001D51D5">
              <w:rPr>
                <w:rFonts w:cs="Calibri Light"/>
                <w:bCs/>
                <w:lang w:eastAsia="en-US"/>
              </w:rPr>
              <w:t>Professional Standards Authority for Health and Social Care v The General Medical Council (Garrard) [2025] EWHC 318 (Admin)</w:t>
            </w:r>
          </w:p>
          <w:p w14:paraId="789EECA5" w14:textId="77777777" w:rsidR="001D51D5" w:rsidRDefault="001D51D5" w:rsidP="001D51D5">
            <w:pPr>
              <w:rPr>
                <w:rFonts w:cs="Calibri Light"/>
                <w:bCs/>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BEFDD6F" w14:textId="60B4ED58" w:rsidR="001D51D5" w:rsidRPr="001D51D5" w:rsidRDefault="001D51D5" w:rsidP="001D51D5">
            <w:pPr>
              <w:rPr>
                <w:rFonts w:asciiTheme="minorHAnsi" w:hAnsiTheme="minorHAnsi" w:cstheme="minorHAnsi"/>
              </w:rPr>
            </w:pPr>
            <w:r w:rsidRPr="001D51D5">
              <w:rPr>
                <w:rFonts w:asciiTheme="minorHAnsi" w:hAnsiTheme="minorHAnsi" w:cstheme="minorHAnsi"/>
              </w:rPr>
              <w:lastRenderedPageBreak/>
              <w:t>Learning points</w:t>
            </w:r>
            <w:bookmarkStart w:id="4" w:name="_Hlk143092298"/>
          </w:p>
          <w:bookmarkEnd w:id="4"/>
          <w:p w14:paraId="3C0EF185" w14:textId="77777777" w:rsidR="001D51D5" w:rsidRPr="001D51D5" w:rsidRDefault="001D51D5" w:rsidP="001D51D5">
            <w:pPr>
              <w:pStyle w:val="ListParagraph"/>
              <w:numPr>
                <w:ilvl w:val="0"/>
                <w:numId w:val="54"/>
              </w:numPr>
              <w:spacing w:line="240" w:lineRule="auto"/>
              <w:rPr>
                <w:rFonts w:asciiTheme="minorHAnsi" w:eastAsiaTheme="minorHAnsi" w:hAnsiTheme="minorHAnsi" w:cstheme="minorHAnsi"/>
              </w:rPr>
            </w:pPr>
            <w:r w:rsidRPr="001D51D5">
              <w:rPr>
                <w:rFonts w:asciiTheme="minorHAnsi" w:eastAsiaTheme="minorHAnsi" w:hAnsiTheme="minorHAnsi" w:cstheme="minorHAnsi"/>
              </w:rPr>
              <w:t>There are two ways in which evidence from one allegation may be cross admissible in respect of another allegation (‘grounds for cross admissibility’). These are where the evidence:</w:t>
            </w:r>
          </w:p>
          <w:p w14:paraId="24546172" w14:textId="77777777" w:rsidR="001D51D5" w:rsidRPr="001D51D5" w:rsidRDefault="001D51D5" w:rsidP="001D51D5">
            <w:pPr>
              <w:pStyle w:val="ListParagraph"/>
              <w:ind w:left="360"/>
              <w:rPr>
                <w:rFonts w:asciiTheme="minorHAnsi" w:eastAsiaTheme="minorHAnsi" w:hAnsiTheme="minorHAnsi" w:cstheme="minorHAnsi"/>
              </w:rPr>
            </w:pPr>
          </w:p>
          <w:p w14:paraId="542B1BFE" w14:textId="77777777" w:rsidR="001D51D5" w:rsidRPr="001D51D5" w:rsidRDefault="001D51D5" w:rsidP="001D51D5">
            <w:pPr>
              <w:pStyle w:val="ListParagraph"/>
              <w:numPr>
                <w:ilvl w:val="0"/>
                <w:numId w:val="62"/>
              </w:numPr>
              <w:spacing w:line="240" w:lineRule="auto"/>
              <w:rPr>
                <w:rFonts w:asciiTheme="minorHAnsi" w:eastAsiaTheme="minorHAnsi" w:hAnsiTheme="minorHAnsi" w:cstheme="minorHAnsi"/>
              </w:rPr>
            </w:pPr>
            <w:r w:rsidRPr="001D51D5">
              <w:rPr>
                <w:rFonts w:asciiTheme="minorHAnsi" w:eastAsiaTheme="minorHAnsi" w:hAnsiTheme="minorHAnsi" w:cstheme="minorHAnsi"/>
              </w:rPr>
              <w:lastRenderedPageBreak/>
              <w:t>1) establishes propensity to commit that type of conduct and/or</w:t>
            </w:r>
          </w:p>
          <w:p w14:paraId="14DDC75A" w14:textId="77777777" w:rsidR="001D51D5" w:rsidRPr="001D51D5" w:rsidRDefault="001D51D5" w:rsidP="001D51D5">
            <w:pPr>
              <w:pStyle w:val="ListParagraph"/>
              <w:numPr>
                <w:ilvl w:val="0"/>
                <w:numId w:val="62"/>
              </w:numPr>
              <w:spacing w:line="240" w:lineRule="auto"/>
              <w:rPr>
                <w:rFonts w:asciiTheme="minorHAnsi" w:eastAsiaTheme="minorHAnsi" w:hAnsiTheme="minorHAnsi" w:cstheme="minorHAnsi"/>
              </w:rPr>
            </w:pPr>
            <w:r w:rsidRPr="001D51D5">
              <w:rPr>
                <w:rFonts w:asciiTheme="minorHAnsi" w:eastAsiaTheme="minorHAnsi" w:hAnsiTheme="minorHAnsi" w:cstheme="minorHAnsi"/>
              </w:rPr>
              <w:t>2) rebuts coincidence</w:t>
            </w:r>
          </w:p>
          <w:p w14:paraId="1B3586A3" w14:textId="77777777" w:rsidR="001D51D5" w:rsidRPr="001D51D5" w:rsidRDefault="001D51D5" w:rsidP="001D51D5">
            <w:pPr>
              <w:pStyle w:val="ListParagraph"/>
              <w:ind w:left="360"/>
              <w:rPr>
                <w:rFonts w:asciiTheme="minorHAnsi" w:hAnsiTheme="minorHAnsi" w:cstheme="minorHAnsi"/>
              </w:rPr>
            </w:pPr>
          </w:p>
          <w:p w14:paraId="6F7AE4DE" w14:textId="77777777" w:rsidR="001D51D5" w:rsidRPr="001D51D5" w:rsidRDefault="001D51D5" w:rsidP="001D51D5">
            <w:pPr>
              <w:pStyle w:val="ListParagraph"/>
              <w:numPr>
                <w:ilvl w:val="0"/>
                <w:numId w:val="54"/>
              </w:numPr>
              <w:spacing w:line="240" w:lineRule="auto"/>
              <w:rPr>
                <w:rFonts w:asciiTheme="minorHAnsi" w:eastAsiaTheme="minorHAnsi" w:hAnsiTheme="minorHAnsi" w:cstheme="minorHAnsi"/>
              </w:rPr>
            </w:pPr>
            <w:r w:rsidRPr="001D51D5">
              <w:rPr>
                <w:rFonts w:asciiTheme="minorHAnsi" w:eastAsiaTheme="minorHAnsi" w:hAnsiTheme="minorHAnsi" w:cstheme="minorHAnsi"/>
              </w:rPr>
              <w:t xml:space="preserve">The tribunal needs to decide upon which ground(s) it is being asked to cross admit the evidence and advise itself accordingly. To avoid confusion, it should not advise itself on the other ground if only one ground is applicable. </w:t>
            </w:r>
          </w:p>
          <w:p w14:paraId="58AB07B1" w14:textId="77777777" w:rsidR="001D51D5" w:rsidRPr="001D51D5" w:rsidRDefault="001D51D5" w:rsidP="001D51D5">
            <w:pPr>
              <w:pStyle w:val="ListParagraph"/>
              <w:spacing w:line="240" w:lineRule="auto"/>
              <w:ind w:left="360"/>
              <w:rPr>
                <w:rFonts w:asciiTheme="minorHAnsi" w:eastAsiaTheme="minorHAnsi" w:hAnsiTheme="minorHAnsi" w:cstheme="minorHAnsi"/>
              </w:rPr>
            </w:pPr>
          </w:p>
          <w:p w14:paraId="3452F2A2" w14:textId="77777777" w:rsidR="001D51D5" w:rsidRPr="001D51D5" w:rsidRDefault="001D51D5" w:rsidP="001D51D5">
            <w:pPr>
              <w:pStyle w:val="ListParagraph"/>
              <w:numPr>
                <w:ilvl w:val="0"/>
                <w:numId w:val="54"/>
              </w:numPr>
              <w:spacing w:line="240" w:lineRule="auto"/>
              <w:rPr>
                <w:rFonts w:asciiTheme="minorHAnsi" w:eastAsiaTheme="minorHAnsi" w:hAnsiTheme="minorHAnsi" w:cstheme="minorHAnsi"/>
              </w:rPr>
            </w:pPr>
            <w:r w:rsidRPr="001D51D5">
              <w:rPr>
                <w:rFonts w:asciiTheme="minorHAnsi" w:eastAsiaTheme="minorHAnsi" w:hAnsiTheme="minorHAnsi" w:cstheme="minorHAnsi"/>
              </w:rPr>
              <w:t xml:space="preserve">In making a direction on cross admissibility on either ground, the tribunal must ensure that there’s “a sufficient connection and similarity between the facts of the allegations” but be cautious that they do not elevate this test to a higher threshold. </w:t>
            </w:r>
          </w:p>
          <w:p w14:paraId="6D3308D1" w14:textId="77777777" w:rsidR="001D51D5" w:rsidRPr="001D51D5" w:rsidRDefault="001D51D5" w:rsidP="001D51D5">
            <w:pPr>
              <w:pStyle w:val="ListParagraph"/>
              <w:spacing w:line="240" w:lineRule="auto"/>
              <w:ind w:left="360"/>
              <w:rPr>
                <w:rFonts w:asciiTheme="minorHAnsi" w:eastAsiaTheme="minorHAnsi" w:hAnsiTheme="minorHAnsi" w:cstheme="minorHAnsi"/>
              </w:rPr>
            </w:pPr>
          </w:p>
          <w:p w14:paraId="59E61D34" w14:textId="77777777" w:rsidR="001D51D5" w:rsidRPr="001D51D5" w:rsidRDefault="001D51D5" w:rsidP="001D51D5">
            <w:pPr>
              <w:pStyle w:val="ListParagraph"/>
              <w:numPr>
                <w:ilvl w:val="0"/>
                <w:numId w:val="54"/>
              </w:numPr>
              <w:spacing w:line="240" w:lineRule="auto"/>
              <w:rPr>
                <w:rFonts w:asciiTheme="minorHAnsi" w:eastAsiaTheme="minorHAnsi" w:hAnsiTheme="minorHAnsi" w:cstheme="minorHAnsi"/>
              </w:rPr>
            </w:pPr>
            <w:r w:rsidRPr="001D51D5">
              <w:rPr>
                <w:rFonts w:asciiTheme="minorHAnsi" w:eastAsiaTheme="minorHAnsi" w:hAnsiTheme="minorHAnsi" w:cstheme="minorHAnsi"/>
              </w:rPr>
              <w:t>In making a direction on cross admissibility on the ground of propensity in a case where there are two or more allegations, the tribunal needs to be satisfied to the required standard that the one allegation took place before relying on evidence in respect of the that allegation to deduce propensity from the other allegation.</w:t>
            </w:r>
          </w:p>
          <w:p w14:paraId="6BFB47A7" w14:textId="77777777" w:rsidR="001D51D5" w:rsidRPr="001D51D5" w:rsidRDefault="001D51D5" w:rsidP="001D51D5">
            <w:pPr>
              <w:pStyle w:val="ListParagraph"/>
              <w:spacing w:line="240" w:lineRule="auto"/>
              <w:ind w:left="360"/>
              <w:rPr>
                <w:rFonts w:asciiTheme="minorHAnsi" w:eastAsiaTheme="minorHAnsi" w:hAnsiTheme="minorHAnsi" w:cstheme="minorHAnsi"/>
              </w:rPr>
            </w:pPr>
          </w:p>
          <w:p w14:paraId="21F8C3DC" w14:textId="77777777" w:rsidR="001D51D5" w:rsidRPr="001D51D5" w:rsidRDefault="001D51D5" w:rsidP="001D51D5">
            <w:pPr>
              <w:pStyle w:val="ListParagraph"/>
              <w:numPr>
                <w:ilvl w:val="0"/>
                <w:numId w:val="54"/>
              </w:numPr>
              <w:spacing w:line="240" w:lineRule="auto"/>
              <w:rPr>
                <w:rFonts w:asciiTheme="minorHAnsi" w:eastAsiaTheme="minorHAnsi" w:hAnsiTheme="minorHAnsi" w:cstheme="minorHAnsi"/>
              </w:rPr>
            </w:pPr>
            <w:r w:rsidRPr="001D51D5">
              <w:rPr>
                <w:rFonts w:asciiTheme="minorHAnsi" w:eastAsiaTheme="minorHAnsi" w:hAnsiTheme="minorHAnsi" w:cstheme="minorHAnsi"/>
              </w:rPr>
              <w:t xml:space="preserve"> In making a direction on cross admissibility on the ground of rebutting coincidence, the tribunal must:</w:t>
            </w:r>
          </w:p>
          <w:p w14:paraId="5F7EA1DE" w14:textId="77777777" w:rsidR="001D51D5" w:rsidRPr="001D51D5" w:rsidRDefault="001D51D5" w:rsidP="001D51D5">
            <w:pPr>
              <w:pStyle w:val="ListParagraph"/>
              <w:numPr>
                <w:ilvl w:val="0"/>
                <w:numId w:val="61"/>
              </w:numPr>
              <w:spacing w:before="40" w:after="40" w:line="252" w:lineRule="auto"/>
              <w:contextualSpacing w:val="0"/>
              <w:rPr>
                <w:rFonts w:asciiTheme="minorHAnsi" w:hAnsiTheme="minorHAnsi" w:cstheme="minorHAnsi"/>
              </w:rPr>
            </w:pPr>
            <w:r w:rsidRPr="001D51D5">
              <w:rPr>
                <w:rFonts w:asciiTheme="minorHAnsi" w:hAnsiTheme="minorHAnsi" w:cstheme="minorHAnsi"/>
              </w:rPr>
              <w:t xml:space="preserve">clearly articulate the principle that it is not necessary to find evidence of one complainant proved before relying on that evidence in support of the other </w:t>
            </w:r>
            <w:proofErr w:type="gramStart"/>
            <w:r w:rsidRPr="001D51D5">
              <w:rPr>
                <w:rFonts w:asciiTheme="minorHAnsi" w:hAnsiTheme="minorHAnsi" w:cstheme="minorHAnsi"/>
              </w:rPr>
              <w:t>complainant;</w:t>
            </w:r>
            <w:proofErr w:type="gramEnd"/>
          </w:p>
          <w:p w14:paraId="18149E6A" w14:textId="77777777" w:rsidR="001D51D5" w:rsidRPr="001D51D5" w:rsidRDefault="001D51D5" w:rsidP="001D51D5">
            <w:pPr>
              <w:pStyle w:val="ListParagraph"/>
              <w:numPr>
                <w:ilvl w:val="0"/>
                <w:numId w:val="61"/>
              </w:numPr>
              <w:spacing w:before="40" w:after="40" w:line="252" w:lineRule="auto"/>
              <w:contextualSpacing w:val="0"/>
              <w:rPr>
                <w:rFonts w:asciiTheme="minorHAnsi" w:hAnsiTheme="minorHAnsi" w:cstheme="minorHAnsi"/>
              </w:rPr>
            </w:pPr>
            <w:r w:rsidRPr="001D51D5">
              <w:rPr>
                <w:rFonts w:asciiTheme="minorHAnsi" w:hAnsiTheme="minorHAnsi" w:cstheme="minorHAnsi"/>
              </w:rPr>
              <w:lastRenderedPageBreak/>
              <w:t xml:space="preserve">consider all the incidents together, holistically rather than </w:t>
            </w:r>
            <w:proofErr w:type="gramStart"/>
            <w:r w:rsidRPr="001D51D5">
              <w:rPr>
                <w:rFonts w:asciiTheme="minorHAnsi" w:hAnsiTheme="minorHAnsi" w:cstheme="minorHAnsi"/>
              </w:rPr>
              <w:t>sequentially;</w:t>
            </w:r>
            <w:proofErr w:type="gramEnd"/>
          </w:p>
          <w:p w14:paraId="6A0DF709" w14:textId="77777777" w:rsidR="001D51D5" w:rsidRPr="001D51D5" w:rsidRDefault="001D51D5" w:rsidP="001D51D5">
            <w:pPr>
              <w:pStyle w:val="Default"/>
              <w:numPr>
                <w:ilvl w:val="0"/>
                <w:numId w:val="61"/>
              </w:numPr>
              <w:rPr>
                <w:rFonts w:asciiTheme="minorHAnsi" w:hAnsiTheme="minorHAnsi" w:cstheme="minorHAnsi"/>
                <w:lang w:eastAsia="en-US"/>
              </w:rPr>
            </w:pPr>
            <w:r w:rsidRPr="001D51D5">
              <w:rPr>
                <w:rFonts w:asciiTheme="minorHAnsi" w:hAnsiTheme="minorHAnsi" w:cstheme="minorHAnsi"/>
                <w:lang w:eastAsia="en-US"/>
              </w:rPr>
              <w:t>advise itself that it must exclude collusion or contamination as an explanation for the similarity of the complainants’ evidence (where such an explanation is raised</w:t>
            </w:r>
            <w:r w:rsidRPr="001D51D5">
              <w:rPr>
                <w:rFonts w:asciiTheme="minorHAnsi" w:hAnsiTheme="minorHAnsi" w:cstheme="minorHAnsi"/>
                <w:lang w:eastAsia="en-US"/>
              </w:rPr>
              <w:footnoteReference w:id="2"/>
            </w:r>
            <w:r w:rsidRPr="001D51D5">
              <w:rPr>
                <w:rFonts w:asciiTheme="minorHAnsi" w:hAnsiTheme="minorHAnsi" w:cstheme="minorHAnsi"/>
                <w:lang w:eastAsia="en-US"/>
              </w:rPr>
              <w:t>) before it can assess the force of the argument that the allegations are unlikely to be coincidence. Once excluded, it must acknowledge that the fact of two complainants making such allegations reduces the likelihood of there being an innocent explanation for them.</w:t>
            </w:r>
          </w:p>
          <w:p w14:paraId="03E9801D" w14:textId="77777777" w:rsidR="001D51D5" w:rsidRPr="00540C60" w:rsidRDefault="001D51D5" w:rsidP="001D51D5">
            <w:pPr>
              <w:rPr>
                <w:rFonts w:asciiTheme="minorHAnsi" w:hAnsiTheme="minorHAnsi" w:cstheme="minorHAnsi"/>
              </w:rPr>
            </w:pPr>
          </w:p>
        </w:tc>
      </w:tr>
      <w:tr w:rsidR="00314231" w:rsidRPr="00360856" w14:paraId="4555F76A" w14:textId="77777777" w:rsidTr="00F14C9B">
        <w:trPr>
          <w:trHeight w:val="51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E55FECF" w14:textId="3FE17BC1" w:rsidR="00314231" w:rsidRDefault="00314231" w:rsidP="001D51D5">
            <w:pPr>
              <w:rPr>
                <w:rFonts w:cs="Calibri Light"/>
                <w:bCs/>
              </w:rPr>
            </w:pPr>
            <w:r>
              <w:rPr>
                <w:rFonts w:cs="Calibri Light"/>
                <w:bCs/>
              </w:rPr>
              <w:lastRenderedPageBreak/>
              <w:t>A06/25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41D3659" w14:textId="496A7D33" w:rsidR="00314231" w:rsidRDefault="00314231" w:rsidP="001D51D5">
            <w:pPr>
              <w:rPr>
                <w:rFonts w:cs="Calibri Light"/>
                <w:bCs/>
              </w:rPr>
            </w:pPr>
            <w:r>
              <w:rPr>
                <w:rFonts w:cs="Calibri Light"/>
                <w:bCs/>
              </w:rPr>
              <w:t>1 September 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FBAC495" w14:textId="1BC42C96" w:rsidR="00314231" w:rsidRPr="001D51D5" w:rsidRDefault="00314231" w:rsidP="001D51D5">
            <w:pPr>
              <w:pStyle w:val="MPTSNewBullet"/>
              <w:rPr>
                <w:rFonts w:cs="Calibri Light"/>
                <w:bCs/>
                <w:lang w:eastAsia="en-US"/>
              </w:rPr>
            </w:pPr>
            <w:r w:rsidRPr="00314231">
              <w:rPr>
                <w:rFonts w:cs="Calibri Light"/>
                <w:bCs/>
                <w:lang w:eastAsia="en-US"/>
              </w:rPr>
              <w:t>Quarterly Appeals Circular Q</w:t>
            </w:r>
            <w:r>
              <w:rPr>
                <w:rFonts w:cs="Calibri Light"/>
                <w:bCs/>
                <w:lang w:eastAsia="en-US"/>
              </w:rPr>
              <w:t>2 2025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B145036" w14:textId="2F03A4EC" w:rsidR="00314231" w:rsidRPr="001D51D5" w:rsidRDefault="00314231" w:rsidP="001D51D5">
            <w:pPr>
              <w:rPr>
                <w:rFonts w:asciiTheme="minorHAnsi" w:hAnsiTheme="minorHAnsi" w:cstheme="minorHAnsi"/>
              </w:rPr>
            </w:pPr>
            <w:r>
              <w:rPr>
                <w:rFonts w:asciiTheme="minorHAnsi" w:hAnsiTheme="minorHAnsi" w:cstheme="minorHAnsi"/>
              </w:rPr>
              <w:t>Learning points from recent appeals</w:t>
            </w:r>
          </w:p>
        </w:tc>
      </w:tr>
      <w:tr w:rsidR="00027967" w:rsidRPr="00360856" w14:paraId="378FBEE5" w14:textId="77777777" w:rsidTr="00F14C9B">
        <w:trPr>
          <w:trHeight w:val="51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3C754F2" w14:textId="6596D7ED" w:rsidR="00027967" w:rsidRDefault="00027967" w:rsidP="001D51D5">
            <w:pPr>
              <w:rPr>
                <w:rFonts w:cs="Calibri Light"/>
                <w:bCs/>
              </w:rPr>
            </w:pPr>
            <w:r>
              <w:rPr>
                <w:rFonts w:cs="Calibri Light"/>
                <w:bCs/>
              </w:rPr>
              <w:t>A07/25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1127F36" w14:textId="19A98002" w:rsidR="00027967" w:rsidRDefault="00027967" w:rsidP="001D51D5">
            <w:pPr>
              <w:rPr>
                <w:rFonts w:cs="Calibri Light"/>
                <w:bCs/>
              </w:rPr>
            </w:pPr>
            <w:r>
              <w:rPr>
                <w:rFonts w:cs="Calibri Light"/>
                <w:bCs/>
              </w:rPr>
              <w:t>13 October 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DA71668" w14:textId="6CA21C82" w:rsidR="00027967" w:rsidRPr="00314231" w:rsidRDefault="00027967" w:rsidP="001D51D5">
            <w:pPr>
              <w:pStyle w:val="MPTSNewBullet"/>
              <w:rPr>
                <w:rFonts w:cs="Calibri Light"/>
                <w:bCs/>
                <w:lang w:eastAsia="en-US"/>
              </w:rPr>
            </w:pPr>
            <w:r w:rsidRPr="00314231">
              <w:rPr>
                <w:rFonts w:cs="Calibri Light"/>
                <w:bCs/>
                <w:lang w:eastAsia="en-US"/>
              </w:rPr>
              <w:t>Quarterly Appeals Circular Q</w:t>
            </w:r>
            <w:r>
              <w:rPr>
                <w:rFonts w:cs="Calibri Light"/>
                <w:bCs/>
                <w:lang w:eastAsia="en-US"/>
              </w:rPr>
              <w:t>3</w:t>
            </w:r>
            <w:r>
              <w:rPr>
                <w:rFonts w:cs="Calibri Light"/>
                <w:bCs/>
                <w:lang w:eastAsia="en-US"/>
              </w:rPr>
              <w:t xml:space="preserve"> 2025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E135AD1" w14:textId="398179B4" w:rsidR="00027967" w:rsidRDefault="00027967" w:rsidP="001D51D5">
            <w:pPr>
              <w:rPr>
                <w:rFonts w:asciiTheme="minorHAnsi" w:hAnsiTheme="minorHAnsi" w:cstheme="minorHAnsi"/>
              </w:rPr>
            </w:pPr>
            <w:r>
              <w:rPr>
                <w:rFonts w:asciiTheme="minorHAnsi" w:hAnsiTheme="minorHAnsi" w:cstheme="minorHAnsi"/>
              </w:rPr>
              <w:t>Learning points from recent appeals</w:t>
            </w:r>
          </w:p>
        </w:tc>
      </w:tr>
    </w:tbl>
    <w:p w14:paraId="0FC6172A" w14:textId="77777777" w:rsidR="00E0705E" w:rsidRPr="00E0705E" w:rsidRDefault="00E0705E" w:rsidP="00E0705E"/>
    <w:sectPr w:rsidR="00E0705E" w:rsidRPr="00E0705E" w:rsidSect="00E0705E">
      <w:footerReference w:type="even" r:id="rId20"/>
      <w:footerReference w:type="default" r:id="rId21"/>
      <w:headerReference w:type="first" r:id="rId22"/>
      <w:footerReference w:type="first" r:id="rId23"/>
      <w:footnotePr>
        <w:numFmt w:val="chicago"/>
        <w:numRestart w:val="eachPage"/>
      </w:footnotePr>
      <w:endnotePr>
        <w:numFmt w:val="decimal"/>
      </w:endnotePr>
      <w:pgSz w:w="11907" w:h="16840" w:code="9"/>
      <w:pgMar w:top="709" w:right="1842" w:bottom="1418" w:left="1843" w:header="284" w:footer="36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C1B6" w14:textId="77777777" w:rsidR="004C3096" w:rsidRDefault="004C3096" w:rsidP="000242ED"/>
  </w:endnote>
  <w:endnote w:type="continuationSeparator" w:id="0">
    <w:p w14:paraId="74DFED0B" w14:textId="77777777" w:rsidR="004C3096" w:rsidRDefault="004C3096" w:rsidP="000242ED"/>
  </w:endnote>
  <w:endnote w:type="continuationNotice" w:id="1">
    <w:p w14:paraId="02D2505A" w14:textId="77777777" w:rsidR="004C3096" w:rsidRDefault="004C3096" w:rsidP="00024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EA1B" w14:textId="77777777" w:rsidR="0032526B" w:rsidRDefault="0032526B" w:rsidP="000242E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A2B72B" w14:textId="77777777" w:rsidR="0032526B" w:rsidRDefault="0032526B" w:rsidP="00024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5CF4" w14:textId="77777777" w:rsidR="003259F7" w:rsidRPr="00FE79F2" w:rsidRDefault="003259F7" w:rsidP="003259F7">
    <w:pPr>
      <w:pStyle w:val="Footer"/>
      <w:tabs>
        <w:tab w:val="left" w:pos="2899"/>
        <w:tab w:val="right" w:pos="8080"/>
      </w:tabs>
      <w:rPr>
        <w:rFonts w:asciiTheme="minorHAnsi" w:hAnsiTheme="minorHAnsi"/>
        <w:sz w:val="20"/>
      </w:rPr>
    </w:pPr>
    <w:r w:rsidRPr="004C5342">
      <w:rPr>
        <w:rFonts w:asciiTheme="minorHAnsi" w:hAnsiTheme="minorHAnsi"/>
        <w:noProof/>
        <w:sz w:val="20"/>
        <w:lang w:eastAsia="en-GB"/>
      </w:rPr>
      <mc:AlternateContent>
        <mc:Choice Requires="wps">
          <w:drawing>
            <wp:anchor distT="0" distB="0" distL="114300" distR="114300" simplePos="0" relativeHeight="251674624" behindDoc="0" locked="0" layoutInCell="1" allowOverlap="1" wp14:anchorId="1C89178E" wp14:editId="52597455">
              <wp:simplePos x="0" y="0"/>
              <wp:positionH relativeFrom="page">
                <wp:posOffset>1151890</wp:posOffset>
              </wp:positionH>
              <wp:positionV relativeFrom="page">
                <wp:posOffset>9838851</wp:posOffset>
              </wp:positionV>
              <wp:extent cx="5201285" cy="0"/>
              <wp:effectExtent l="0" t="0" r="1841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1285" cy="0"/>
                      </a:xfrm>
                      <a:prstGeom prst="line">
                        <a:avLst/>
                      </a:prstGeom>
                      <a:noFill/>
                      <a:ln w="12700">
                        <a:solidFill>
                          <a:srgbClr val="80C7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E9910" id="Straight Connector 9" o:spid="_x0000_s1026" style="position:absolute;flip:y;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7pt,774.7pt" to="500.25pt,7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" strokecolor="#80c7bc" strokeweight="1pt">
              <w10:wrap anchorx="page" anchory="page"/>
            </v:line>
          </w:pict>
        </mc:Fallback>
      </mc:AlternateContent>
    </w:r>
    <w:r w:rsidRPr="004C5342">
      <w:rPr>
        <w:rFonts w:asciiTheme="minorHAnsi" w:hAnsiTheme="minorHAnsi"/>
        <w:sz w:val="20"/>
      </w:rPr>
      <w:tab/>
    </w:r>
    <w:r w:rsidRPr="004C5342">
      <w:rPr>
        <w:rFonts w:asciiTheme="minorHAnsi" w:hAnsiTheme="minorHAnsi"/>
        <w:sz w:val="20"/>
      </w:rPr>
      <w:tab/>
    </w:r>
    <w:r>
      <w:rPr>
        <w:rFonts w:asciiTheme="minorHAnsi" w:hAnsiTheme="minorHAnsi"/>
        <w:sz w:val="20"/>
      </w:rPr>
      <w:t xml:space="preserve">     </w:t>
    </w:r>
    <w:r>
      <w:rPr>
        <w:rFonts w:asciiTheme="minorHAnsi" w:hAnsiTheme="minorHAnsi"/>
        <w:sz w:val="20"/>
      </w:rPr>
      <w:tab/>
    </w:r>
  </w:p>
  <w:p w14:paraId="2048BEA8" w14:textId="77777777" w:rsidR="003259F7" w:rsidRPr="00FE79F2" w:rsidRDefault="00E0705E" w:rsidP="00E0705E">
    <w:pPr>
      <w:pStyle w:val="Footer"/>
      <w:tabs>
        <w:tab w:val="clear" w:pos="4320"/>
        <w:tab w:val="clear" w:pos="8640"/>
        <w:tab w:val="right" w:pos="8080"/>
      </w:tabs>
    </w:pPr>
    <w:r w:rsidRPr="004C5342">
      <w:rPr>
        <w:rFonts w:asciiTheme="minorHAnsi" w:hAnsiTheme="minorHAnsi"/>
        <w:sz w:val="20"/>
      </w:rPr>
      <w:t>www.mpts-uk.org</w:t>
    </w:r>
    <w:r>
      <w:rPr>
        <w:rFonts w:asciiTheme="minorHAnsi" w:hAnsiTheme="minorHAnsi"/>
        <w:sz w:val="20"/>
      </w:rPr>
      <w:tab/>
    </w:r>
    <w:r w:rsidRPr="00284835">
      <w:rPr>
        <w:rFonts w:asciiTheme="minorHAnsi" w:hAnsiTheme="minorHAnsi"/>
        <w:b/>
        <w:sz w:val="20"/>
      </w:rPr>
      <w:fldChar w:fldCharType="begin"/>
    </w:r>
    <w:r w:rsidRPr="00284835">
      <w:rPr>
        <w:rFonts w:asciiTheme="minorHAnsi" w:hAnsiTheme="minorHAnsi"/>
        <w:b/>
        <w:sz w:val="20"/>
      </w:rPr>
      <w:instrText xml:space="preserve"> PAGE   \* MERGEFORMAT </w:instrText>
    </w:r>
    <w:r w:rsidRPr="00284835">
      <w:rPr>
        <w:rFonts w:asciiTheme="minorHAnsi" w:hAnsiTheme="minorHAnsi"/>
        <w:b/>
        <w:sz w:val="20"/>
      </w:rPr>
      <w:fldChar w:fldCharType="separate"/>
    </w:r>
    <w:r w:rsidR="00776BA4">
      <w:rPr>
        <w:rFonts w:asciiTheme="minorHAnsi" w:hAnsiTheme="minorHAnsi"/>
        <w:b/>
        <w:noProof/>
        <w:sz w:val="20"/>
      </w:rPr>
      <w:t>3</w:t>
    </w:r>
    <w:r w:rsidRPr="00284835">
      <w:rPr>
        <w:rFonts w:asciiTheme="minorHAnsi" w:hAnsiTheme="minorHAnsi"/>
        <w:b/>
        <w:noProof/>
        <w:sz w:val="20"/>
      </w:rPr>
      <w:fldChar w:fldCharType="end"/>
    </w:r>
  </w:p>
  <w:p w14:paraId="21C6E77C" w14:textId="77777777" w:rsidR="0032526B" w:rsidRPr="003259F7" w:rsidRDefault="0032526B" w:rsidP="00325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BCA0" w14:textId="77777777" w:rsidR="00FE79F2" w:rsidRPr="00FE79F2" w:rsidRDefault="00284835" w:rsidP="00284835">
    <w:pPr>
      <w:pStyle w:val="Footer"/>
      <w:tabs>
        <w:tab w:val="left" w:pos="2899"/>
        <w:tab w:val="right" w:pos="8080"/>
      </w:tabs>
      <w:rPr>
        <w:rFonts w:asciiTheme="minorHAnsi" w:hAnsiTheme="minorHAnsi"/>
        <w:sz w:val="20"/>
      </w:rPr>
    </w:pPr>
    <w:r w:rsidRPr="004C5342">
      <w:rPr>
        <w:rFonts w:asciiTheme="minorHAnsi" w:hAnsiTheme="minorHAnsi"/>
        <w:noProof/>
        <w:sz w:val="20"/>
        <w:lang w:eastAsia="en-GB"/>
      </w:rPr>
      <mc:AlternateContent>
        <mc:Choice Requires="wps">
          <w:drawing>
            <wp:anchor distT="0" distB="0" distL="114300" distR="114300" simplePos="0" relativeHeight="251670528" behindDoc="0" locked="0" layoutInCell="1" allowOverlap="1" wp14:anchorId="20C6FBD5" wp14:editId="0CB7E2D7">
              <wp:simplePos x="0" y="0"/>
              <wp:positionH relativeFrom="page">
                <wp:posOffset>1151890</wp:posOffset>
              </wp:positionH>
              <wp:positionV relativeFrom="page">
                <wp:posOffset>9838851</wp:posOffset>
              </wp:positionV>
              <wp:extent cx="5201285" cy="0"/>
              <wp:effectExtent l="0" t="0" r="1841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1285" cy="0"/>
                      </a:xfrm>
                      <a:prstGeom prst="line">
                        <a:avLst/>
                      </a:prstGeom>
                      <a:noFill/>
                      <a:ln w="12700">
                        <a:solidFill>
                          <a:srgbClr val="80C7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B4A21"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7pt,774.7pt" to="500.25pt,7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" strokecolor="#80c7bc" strokeweight="1pt">
              <w10:wrap anchorx="page" anchory="page"/>
            </v:line>
          </w:pict>
        </mc:Fallback>
      </mc:AlternateContent>
    </w:r>
    <w:r w:rsidR="00FE79F2" w:rsidRPr="004C5342">
      <w:rPr>
        <w:rFonts w:asciiTheme="minorHAnsi" w:hAnsiTheme="minorHAnsi"/>
        <w:sz w:val="20"/>
      </w:rPr>
      <w:t>www.mpts-uk.org</w:t>
    </w:r>
    <w:r w:rsidR="00FE79F2" w:rsidRPr="004C5342">
      <w:rPr>
        <w:rFonts w:asciiTheme="minorHAnsi" w:hAnsiTheme="minorHAnsi"/>
        <w:sz w:val="20"/>
      </w:rPr>
      <w:tab/>
    </w:r>
    <w:r w:rsidR="00FE79F2" w:rsidRPr="004C5342">
      <w:rPr>
        <w:rFonts w:asciiTheme="minorHAnsi" w:hAnsiTheme="minorHAnsi"/>
        <w:sz w:val="20"/>
      </w:rPr>
      <w:tab/>
    </w:r>
    <w:r w:rsidR="00FE79F2">
      <w:rPr>
        <w:rFonts w:asciiTheme="minorHAnsi" w:hAnsiTheme="minorHAnsi"/>
        <w:sz w:val="20"/>
      </w:rPr>
      <w:t xml:space="preserve">     </w:t>
    </w:r>
    <w:r w:rsidR="00FE79F2">
      <w:rPr>
        <w:rFonts w:asciiTheme="minorHAnsi" w:hAnsiTheme="minorHAnsi"/>
        <w:sz w:val="20"/>
      </w:rPr>
      <w:tab/>
    </w:r>
    <w:r w:rsidR="00FE79F2" w:rsidRPr="00284835">
      <w:rPr>
        <w:rFonts w:asciiTheme="minorHAnsi" w:hAnsiTheme="minorHAnsi"/>
        <w:b/>
        <w:sz w:val="20"/>
      </w:rPr>
      <w:fldChar w:fldCharType="begin"/>
    </w:r>
    <w:r w:rsidR="00FE79F2" w:rsidRPr="00284835">
      <w:rPr>
        <w:rFonts w:asciiTheme="minorHAnsi" w:hAnsiTheme="minorHAnsi"/>
        <w:b/>
        <w:sz w:val="20"/>
      </w:rPr>
      <w:instrText xml:space="preserve"> PAGE   \* MERGEFORMAT </w:instrText>
    </w:r>
    <w:r w:rsidR="00FE79F2" w:rsidRPr="00284835">
      <w:rPr>
        <w:rFonts w:asciiTheme="minorHAnsi" w:hAnsiTheme="minorHAnsi"/>
        <w:b/>
        <w:sz w:val="20"/>
      </w:rPr>
      <w:fldChar w:fldCharType="separate"/>
    </w:r>
    <w:r w:rsidR="00776BA4">
      <w:rPr>
        <w:rFonts w:asciiTheme="minorHAnsi" w:hAnsiTheme="minorHAnsi"/>
        <w:b/>
        <w:noProof/>
        <w:sz w:val="20"/>
      </w:rPr>
      <w:t>1</w:t>
    </w:r>
    <w:r w:rsidR="00FE79F2" w:rsidRPr="00284835">
      <w:rPr>
        <w:rFonts w:asciiTheme="minorHAnsi" w:hAnsiTheme="minorHAnsi"/>
        <w:b/>
        <w:noProof/>
        <w:sz w:val="20"/>
      </w:rPr>
      <w:fldChar w:fldCharType="end"/>
    </w:r>
  </w:p>
  <w:p w14:paraId="0F543925" w14:textId="77777777" w:rsidR="0032526B" w:rsidRPr="00FE79F2" w:rsidRDefault="0032526B" w:rsidP="00FE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6A62" w14:textId="77777777" w:rsidR="004C3096" w:rsidRDefault="004C3096" w:rsidP="000242ED"/>
  </w:footnote>
  <w:footnote w:type="continuationSeparator" w:id="0">
    <w:p w14:paraId="77B7910D" w14:textId="77777777" w:rsidR="004C3096" w:rsidRDefault="004C3096" w:rsidP="000242ED"/>
  </w:footnote>
  <w:footnote w:id="1">
    <w:p w14:paraId="26F9F1BE" w14:textId="77777777" w:rsidR="003E5CD3" w:rsidRDefault="003E5CD3" w:rsidP="00452C6C">
      <w:pPr>
        <w:pStyle w:val="FootnoteText"/>
      </w:pPr>
      <w:r>
        <w:rPr>
          <w:rStyle w:val="FootnoteReference"/>
        </w:rPr>
        <w:footnoteRef/>
      </w:r>
      <w:r>
        <w:t xml:space="preserve"> </w:t>
      </w:r>
      <w:r w:rsidRPr="00766B22">
        <w:rPr>
          <w:rStyle w:val="FootnoteReference"/>
          <w:color w:val="auto"/>
        </w:rPr>
        <w:t>(1)</w:t>
      </w:r>
      <w:r w:rsidRPr="00766B22">
        <w:rPr>
          <w:rStyle w:val="FootnoteReference"/>
          <w:rFonts w:asciiTheme="majorHAnsi" w:hAnsiTheme="majorHAnsi" w:cstheme="majorHAnsi"/>
          <w:color w:val="auto"/>
        </w:rPr>
        <w:t xml:space="preserve"> P</w:t>
      </w:r>
      <w:r w:rsidRPr="009763D7">
        <w:rPr>
          <w:rStyle w:val="FootnoteReference"/>
          <w:rFonts w:asciiTheme="majorHAnsi" w:hAnsiTheme="majorHAnsi" w:cstheme="majorHAnsi"/>
          <w:color w:val="auto"/>
        </w:rPr>
        <w:t xml:space="preserve">rotecting, promoting and maintaining the health, safety and well-being of the public. </w:t>
      </w:r>
      <w:r w:rsidRPr="00766B22">
        <w:rPr>
          <w:rStyle w:val="FootnoteReference"/>
        </w:rPr>
        <w:t>(2)</w:t>
      </w:r>
      <w:r>
        <w:rPr>
          <w:rFonts w:asciiTheme="majorHAnsi" w:hAnsiTheme="majorHAnsi" w:cstheme="majorHAnsi"/>
          <w:color w:val="auto"/>
        </w:rPr>
        <w:t xml:space="preserve"> </w:t>
      </w:r>
      <w:r w:rsidRPr="00766B22">
        <w:rPr>
          <w:rStyle w:val="FootnoteReference"/>
          <w:rFonts w:asciiTheme="majorHAnsi" w:hAnsiTheme="majorHAnsi" w:cstheme="majorHAnsi"/>
          <w:color w:val="auto"/>
        </w:rPr>
        <w:t>P</w:t>
      </w:r>
      <w:r w:rsidRPr="009763D7">
        <w:rPr>
          <w:rStyle w:val="FootnoteReference"/>
          <w:rFonts w:asciiTheme="majorHAnsi" w:hAnsiTheme="majorHAnsi" w:cstheme="majorHAnsi"/>
          <w:color w:val="auto"/>
        </w:rPr>
        <w:t xml:space="preserve">romoting and maintaining public confidence in the profession. </w:t>
      </w:r>
      <w:r w:rsidRPr="00766B22">
        <w:rPr>
          <w:rStyle w:val="FootnoteReference"/>
        </w:rPr>
        <w:t xml:space="preserve">(3) </w:t>
      </w:r>
      <w:r w:rsidRPr="009763D7">
        <w:rPr>
          <w:rStyle w:val="FootnoteReference"/>
          <w:rFonts w:asciiTheme="majorHAnsi" w:hAnsiTheme="majorHAnsi" w:cstheme="majorHAnsi"/>
          <w:color w:val="auto"/>
        </w:rPr>
        <w:t xml:space="preserve"> </w:t>
      </w:r>
      <w:r w:rsidRPr="00766B22">
        <w:rPr>
          <w:rStyle w:val="FootnoteReference"/>
          <w:rFonts w:asciiTheme="majorHAnsi" w:hAnsiTheme="majorHAnsi" w:cstheme="majorHAnsi"/>
          <w:color w:val="auto"/>
        </w:rPr>
        <w:t>P</w:t>
      </w:r>
      <w:r w:rsidRPr="009763D7">
        <w:rPr>
          <w:rStyle w:val="FootnoteReference"/>
          <w:rFonts w:asciiTheme="majorHAnsi" w:hAnsiTheme="majorHAnsi" w:cstheme="majorHAnsi"/>
          <w:color w:val="auto"/>
        </w:rPr>
        <w:t>romoting and maintaining proper professional standards and conduct.</w:t>
      </w:r>
    </w:p>
  </w:footnote>
  <w:footnote w:id="2">
    <w:p w14:paraId="34CB0CC1" w14:textId="77777777" w:rsidR="001D51D5" w:rsidRDefault="001D51D5" w:rsidP="001D51D5">
      <w:pPr>
        <w:pStyle w:val="FootnoteText"/>
      </w:pPr>
      <w:r>
        <w:rPr>
          <w:rStyle w:val="FootnoteReference"/>
        </w:rPr>
        <w:footnoteRef/>
      </w:r>
      <w:r>
        <w:t xml:space="preserve"> </w:t>
      </w:r>
      <w:r w:rsidRPr="00D40EC9">
        <w:t xml:space="preserve">The wording within the brackets has been inserted by </w:t>
      </w:r>
      <w:r>
        <w:t>the Tribunal Development Section, a</w:t>
      </w:r>
      <w:r w:rsidRPr="00D40EC9">
        <w:t>s it would not be necessary for the tribunal to need to explore collusion or contamination where it has not been raised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E386" w14:textId="77777777" w:rsidR="0032526B" w:rsidRDefault="00DE05DB" w:rsidP="000242ED">
    <w:pPr>
      <w:pStyle w:val="Header"/>
    </w:pPr>
    <w:r>
      <w:rPr>
        <w:noProof/>
        <w:lang w:eastAsia="en-GB"/>
      </w:rPr>
      <w:drawing>
        <wp:anchor distT="0" distB="0" distL="114300" distR="114300" simplePos="0" relativeHeight="251672576" behindDoc="0" locked="0" layoutInCell="1" allowOverlap="1" wp14:anchorId="4CD0C13C" wp14:editId="7F920B43">
          <wp:simplePos x="0" y="0"/>
          <wp:positionH relativeFrom="column">
            <wp:posOffset>-565785</wp:posOffset>
          </wp:positionH>
          <wp:positionV relativeFrom="page">
            <wp:posOffset>1022571</wp:posOffset>
          </wp:positionV>
          <wp:extent cx="3095625" cy="402590"/>
          <wp:effectExtent l="0" t="0" r="952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PTS logo-01.jpg"/>
                  <pic:cNvPicPr/>
                </pic:nvPicPr>
                <pic:blipFill>
                  <a:blip r:embed="rId1">
                    <a:extLst>
                      <a:ext uri="{28A0092B-C50C-407E-A947-70E740481C1C}">
                        <a14:useLocalDpi xmlns:a14="http://schemas.microsoft.com/office/drawing/2010/main" val="0"/>
                      </a:ext>
                    </a:extLst>
                  </a:blip>
                  <a:stretch>
                    <a:fillRect/>
                  </a:stretch>
                </pic:blipFill>
                <pic:spPr>
                  <a:xfrm>
                    <a:off x="0" y="0"/>
                    <a:ext cx="3095625" cy="402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A0A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6EDE5E"/>
    <w:lvl w:ilvl="0">
      <w:start w:val="1"/>
      <w:numFmt w:val="decimal"/>
      <w:lvlText w:val="%1."/>
      <w:lvlJc w:val="left"/>
      <w:pPr>
        <w:tabs>
          <w:tab w:val="num" w:pos="1209"/>
        </w:tabs>
        <w:ind w:left="1209" w:hanging="360"/>
      </w:pPr>
    </w:lvl>
  </w:abstractNum>
  <w:abstractNum w:abstractNumId="2" w15:restartNumberingAfterBreak="0">
    <w:nsid w:val="FFFFFF82"/>
    <w:multiLevelType w:val="singleLevel"/>
    <w:tmpl w:val="70D88D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2C65B1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85AF1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E36A79"/>
    <w:multiLevelType w:val="multilevel"/>
    <w:tmpl w:val="B04269FC"/>
    <w:lvl w:ilvl="0">
      <w:start w:val="1"/>
      <w:numFmt w:val="lowerLetter"/>
      <w:lvlRestart w:val="0"/>
      <w:pStyle w:val="MPTSA-Ztext"/>
      <w:lvlText w:val="%1"/>
      <w:lvlJc w:val="left"/>
      <w:pPr>
        <w:tabs>
          <w:tab w:val="num" w:pos="850"/>
        </w:tabs>
        <w:ind w:left="850" w:hanging="340"/>
      </w:pPr>
      <w:rPr>
        <w:rFonts w:ascii="Tahoma" w:hAnsi="Tahoma" w:cs="Tahoma" w:hint="default"/>
        <w:b/>
        <w:i w:val="0"/>
        <w:color w:val="007268"/>
        <w:sz w:val="24"/>
        <w:u w:val="none"/>
      </w:rPr>
    </w:lvl>
    <w:lvl w:ilvl="1">
      <w:start w:val="1"/>
      <w:numFmt w:val="lowerLetter"/>
      <w:lvlText w:val="%2"/>
      <w:lvlJc w:val="left"/>
      <w:pPr>
        <w:tabs>
          <w:tab w:val="num" w:pos="1440"/>
        </w:tabs>
        <w:ind w:left="1440" w:hanging="720"/>
      </w:pPr>
      <w:rPr>
        <w:rFonts w:hint="default"/>
        <w:b/>
        <w:i w:val="0"/>
        <w:color w:val="007268"/>
        <w:sz w:val="24"/>
      </w:rPr>
    </w:lvl>
    <w:lvl w:ilvl="2">
      <w:start w:val="1"/>
      <w:numFmt w:val="lowerRoman"/>
      <w:lvlText w:val="%3"/>
      <w:lvlJc w:val="left"/>
      <w:pPr>
        <w:tabs>
          <w:tab w:val="num" w:pos="2160"/>
        </w:tabs>
        <w:ind w:left="1797" w:hanging="357"/>
      </w:pPr>
      <w:rPr>
        <w:rFonts w:hint="default"/>
        <w:b/>
        <w:i w:val="0"/>
        <w:sz w:val="24"/>
      </w:rPr>
    </w:lvl>
    <w:lvl w:ilvl="3">
      <w:start w:val="1"/>
      <w:numFmt w:val="decimal"/>
      <w:lvlText w:val="%4"/>
      <w:lvlJc w:val="left"/>
      <w:pPr>
        <w:tabs>
          <w:tab w:val="num" w:pos="2160"/>
        </w:tabs>
        <w:ind w:left="2160" w:hanging="363"/>
      </w:pPr>
      <w:rPr>
        <w:rFonts w:hint="default"/>
        <w:b/>
        <w:i w:val="0"/>
        <w:sz w:val="24"/>
      </w:rPr>
    </w:lvl>
    <w:lvl w:ilvl="4">
      <w:start w:val="1"/>
      <w:numFmt w:val="lowerLetter"/>
      <w:lvlText w:val="%5"/>
      <w:lvlJc w:val="left"/>
      <w:pPr>
        <w:tabs>
          <w:tab w:val="num" w:pos="2517"/>
        </w:tabs>
        <w:ind w:left="2517" w:hanging="357"/>
      </w:pPr>
      <w:rPr>
        <w:rFonts w:hint="default"/>
        <w:b/>
        <w:i w:val="0"/>
        <w:color w:val="007268"/>
        <w:sz w:val="24"/>
      </w:rPr>
    </w:lvl>
    <w:lvl w:ilvl="5">
      <w:start w:val="1"/>
      <w:numFmt w:val="lowerRoman"/>
      <w:lvlText w:val="%6"/>
      <w:lvlJc w:val="left"/>
      <w:pPr>
        <w:tabs>
          <w:tab w:val="num" w:pos="3237"/>
        </w:tabs>
        <w:ind w:left="2880" w:hanging="363"/>
      </w:pPr>
      <w:rPr>
        <w:rFonts w:hint="default"/>
        <w:b/>
        <w:i w:val="0"/>
        <w:sz w:val="24"/>
      </w:rPr>
    </w:lvl>
    <w:lvl w:ilvl="6">
      <w:start w:val="1"/>
      <w:numFmt w:val="decimal"/>
      <w:lvlText w:val="%7"/>
      <w:lvlJc w:val="left"/>
      <w:pPr>
        <w:tabs>
          <w:tab w:val="num" w:pos="3237"/>
        </w:tabs>
        <w:ind w:left="3237" w:hanging="357"/>
      </w:pPr>
      <w:rPr>
        <w:rFonts w:hint="default"/>
        <w:b/>
        <w:i w:val="0"/>
        <w:sz w:val="24"/>
      </w:rPr>
    </w:lvl>
    <w:lvl w:ilvl="7">
      <w:start w:val="1"/>
      <w:numFmt w:val="lowerLetter"/>
      <w:lvlText w:val="%8"/>
      <w:lvlJc w:val="left"/>
      <w:pPr>
        <w:tabs>
          <w:tab w:val="num" w:pos="3600"/>
        </w:tabs>
        <w:ind w:left="3600" w:hanging="363"/>
      </w:pPr>
      <w:rPr>
        <w:rFonts w:hint="default"/>
        <w:b/>
        <w:i w:val="0"/>
        <w:color w:val="007268"/>
        <w:sz w:val="24"/>
      </w:rPr>
    </w:lvl>
    <w:lvl w:ilvl="8">
      <w:start w:val="1"/>
      <w:numFmt w:val="lowerRoman"/>
      <w:lvlText w:val="%9"/>
      <w:lvlJc w:val="left"/>
      <w:pPr>
        <w:tabs>
          <w:tab w:val="num" w:pos="4320"/>
        </w:tabs>
        <w:ind w:left="3957" w:hanging="357"/>
      </w:pPr>
      <w:rPr>
        <w:rFonts w:hint="default"/>
        <w:b/>
        <w:i w:val="0"/>
        <w:sz w:val="24"/>
      </w:rPr>
    </w:lvl>
  </w:abstractNum>
  <w:abstractNum w:abstractNumId="6" w15:restartNumberingAfterBreak="0">
    <w:nsid w:val="16433E3A"/>
    <w:multiLevelType w:val="hybridMultilevel"/>
    <w:tmpl w:val="F1D62C0A"/>
    <w:lvl w:ilvl="0" w:tplc="743E1144">
      <w:start w:val="1"/>
      <w:numFmt w:val="bullet"/>
      <w:lvlText w:val=""/>
      <w:lvlJc w:val="left"/>
      <w:pPr>
        <w:ind w:left="720" w:hanging="360"/>
      </w:pPr>
      <w:rPr>
        <w:rFonts w:ascii="Wingdings 3" w:hAnsi="Wingdings 3" w:hint="default"/>
        <w:color w:val="006E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E083D"/>
    <w:multiLevelType w:val="hybridMultilevel"/>
    <w:tmpl w:val="65D05D60"/>
    <w:lvl w:ilvl="0" w:tplc="FFFFFFFF">
      <w:start w:val="1"/>
      <w:numFmt w:val="bullet"/>
      <w:lvlText w:val=""/>
      <w:lvlJc w:val="left"/>
      <w:pPr>
        <w:tabs>
          <w:tab w:val="num" w:pos="284"/>
        </w:tabs>
        <w:ind w:left="227" w:hanging="227"/>
      </w:pPr>
      <w:rPr>
        <w:rFonts w:ascii="Wingdings" w:hAnsi="Wingdings" w:hint="default"/>
        <w:color w:val="17365D"/>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3B7495"/>
    <w:multiLevelType w:val="hybridMultilevel"/>
    <w:tmpl w:val="ADE844DE"/>
    <w:lvl w:ilvl="0" w:tplc="3CF25D98">
      <w:start w:val="1"/>
      <w:numFmt w:val="bullet"/>
      <w:lvlText w:val=""/>
      <w:lvlJc w:val="left"/>
      <w:pPr>
        <w:ind w:left="360" w:hanging="360"/>
      </w:pPr>
      <w:rPr>
        <w:rFonts w:ascii="Wingdings 3" w:hAnsi="Wingdings 3" w:hint="default"/>
        <w:color w:val="006E6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F77016"/>
    <w:multiLevelType w:val="hybridMultilevel"/>
    <w:tmpl w:val="21ECD22A"/>
    <w:lvl w:ilvl="0" w:tplc="74AEBEF8">
      <w:start w:val="1"/>
      <w:numFmt w:val="bullet"/>
      <w:lvlText w:val=""/>
      <w:lvlJc w:val="left"/>
      <w:pPr>
        <w:ind w:left="720" w:hanging="360"/>
      </w:pPr>
      <w:rPr>
        <w:rFonts w:ascii="Wingdings 3" w:hAnsi="Wingdings 3" w:hint="default"/>
        <w:color w:val="A1E1D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68259B8"/>
    <w:multiLevelType w:val="hybridMultilevel"/>
    <w:tmpl w:val="6638F756"/>
    <w:lvl w:ilvl="0" w:tplc="743E1144">
      <w:start w:val="1"/>
      <w:numFmt w:val="bullet"/>
      <w:lvlText w:val=""/>
      <w:lvlJc w:val="left"/>
      <w:pPr>
        <w:ind w:left="720" w:hanging="360"/>
      </w:pPr>
      <w:rPr>
        <w:rFonts w:ascii="Wingdings 3" w:hAnsi="Wingdings 3" w:hint="default"/>
        <w:color w:val="006E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8499A"/>
    <w:multiLevelType w:val="hybridMultilevel"/>
    <w:tmpl w:val="C1964D2A"/>
    <w:lvl w:ilvl="0" w:tplc="74AEBEF8">
      <w:start w:val="1"/>
      <w:numFmt w:val="bullet"/>
      <w:lvlText w:val=""/>
      <w:lvlJc w:val="left"/>
      <w:pPr>
        <w:ind w:left="720" w:hanging="360"/>
      </w:pPr>
      <w:rPr>
        <w:rFonts w:ascii="Wingdings 3" w:hAnsi="Wingdings 3" w:hint="default"/>
        <w:color w:val="A1E1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45938"/>
    <w:multiLevelType w:val="multilevel"/>
    <w:tmpl w:val="453A45AA"/>
    <w:lvl w:ilvl="0">
      <w:start w:val="1"/>
      <w:numFmt w:val="lowerLetter"/>
      <w:lvlRestart w:val="0"/>
      <w:pStyle w:val="GMCA-Ztext"/>
      <w:lvlText w:val="%1"/>
      <w:lvlJc w:val="left"/>
      <w:pPr>
        <w:tabs>
          <w:tab w:val="num" w:pos="850"/>
        </w:tabs>
        <w:ind w:left="850" w:hanging="340"/>
      </w:pPr>
      <w:rPr>
        <w:rFonts w:ascii="Tahoma" w:hAnsi="Tahoma" w:hint="default"/>
        <w:b/>
        <w:i w:val="0"/>
        <w:color w:val="007268"/>
        <w:sz w:val="24"/>
        <w:u w:val="none"/>
      </w:rPr>
    </w:lvl>
    <w:lvl w:ilvl="1">
      <w:start w:val="1"/>
      <w:numFmt w:val="lowerLetter"/>
      <w:lvlText w:val="%2"/>
      <w:lvlJc w:val="left"/>
      <w:pPr>
        <w:tabs>
          <w:tab w:val="num" w:pos="1440"/>
        </w:tabs>
        <w:ind w:left="1440" w:hanging="720"/>
      </w:pPr>
      <w:rPr>
        <w:rFonts w:hint="default"/>
        <w:b/>
        <w:i w:val="0"/>
        <w:color w:val="2F9F9F"/>
        <w:sz w:val="24"/>
      </w:rPr>
    </w:lvl>
    <w:lvl w:ilvl="2">
      <w:start w:val="1"/>
      <w:numFmt w:val="lowerRoman"/>
      <w:lvlText w:val="%3"/>
      <w:lvlJc w:val="left"/>
      <w:pPr>
        <w:tabs>
          <w:tab w:val="num" w:pos="2160"/>
        </w:tabs>
        <w:ind w:left="1797" w:hanging="357"/>
      </w:pPr>
      <w:rPr>
        <w:rFonts w:hint="default"/>
        <w:b/>
        <w:i w:val="0"/>
        <w:sz w:val="24"/>
      </w:rPr>
    </w:lvl>
    <w:lvl w:ilvl="3">
      <w:start w:val="1"/>
      <w:numFmt w:val="decimal"/>
      <w:lvlText w:val="%4"/>
      <w:lvlJc w:val="left"/>
      <w:pPr>
        <w:tabs>
          <w:tab w:val="num" w:pos="2160"/>
        </w:tabs>
        <w:ind w:left="2160" w:hanging="363"/>
      </w:pPr>
      <w:rPr>
        <w:rFonts w:hint="default"/>
        <w:b/>
        <w:i w:val="0"/>
        <w:sz w:val="24"/>
      </w:rPr>
    </w:lvl>
    <w:lvl w:ilvl="4">
      <w:start w:val="1"/>
      <w:numFmt w:val="lowerLetter"/>
      <w:lvlText w:val="%5"/>
      <w:lvlJc w:val="left"/>
      <w:pPr>
        <w:tabs>
          <w:tab w:val="num" w:pos="2517"/>
        </w:tabs>
        <w:ind w:left="2517" w:hanging="357"/>
      </w:pPr>
      <w:rPr>
        <w:rFonts w:hint="default"/>
        <w:b/>
        <w:i w:val="0"/>
        <w:color w:val="2F9F9F"/>
        <w:sz w:val="24"/>
      </w:rPr>
    </w:lvl>
    <w:lvl w:ilvl="5">
      <w:start w:val="1"/>
      <w:numFmt w:val="lowerRoman"/>
      <w:lvlText w:val="%6"/>
      <w:lvlJc w:val="left"/>
      <w:pPr>
        <w:tabs>
          <w:tab w:val="num" w:pos="3237"/>
        </w:tabs>
        <w:ind w:left="2880" w:hanging="363"/>
      </w:pPr>
      <w:rPr>
        <w:rFonts w:hint="default"/>
        <w:b/>
        <w:i w:val="0"/>
        <w:sz w:val="24"/>
      </w:rPr>
    </w:lvl>
    <w:lvl w:ilvl="6">
      <w:start w:val="1"/>
      <w:numFmt w:val="decimal"/>
      <w:lvlText w:val="%7"/>
      <w:lvlJc w:val="left"/>
      <w:pPr>
        <w:tabs>
          <w:tab w:val="num" w:pos="3237"/>
        </w:tabs>
        <w:ind w:left="3237" w:hanging="357"/>
      </w:pPr>
      <w:rPr>
        <w:rFonts w:hint="default"/>
        <w:b/>
        <w:i w:val="0"/>
        <w:sz w:val="24"/>
      </w:rPr>
    </w:lvl>
    <w:lvl w:ilvl="7">
      <w:start w:val="1"/>
      <w:numFmt w:val="lowerLetter"/>
      <w:lvlText w:val="%8"/>
      <w:lvlJc w:val="left"/>
      <w:pPr>
        <w:tabs>
          <w:tab w:val="num" w:pos="3600"/>
        </w:tabs>
        <w:ind w:left="3600" w:hanging="363"/>
      </w:pPr>
      <w:rPr>
        <w:rFonts w:hint="default"/>
        <w:b/>
        <w:i w:val="0"/>
        <w:color w:val="2F9F9F"/>
        <w:sz w:val="24"/>
      </w:rPr>
    </w:lvl>
    <w:lvl w:ilvl="8">
      <w:start w:val="1"/>
      <w:numFmt w:val="lowerRoman"/>
      <w:lvlText w:val="%9"/>
      <w:lvlJc w:val="left"/>
      <w:pPr>
        <w:tabs>
          <w:tab w:val="num" w:pos="4320"/>
        </w:tabs>
        <w:ind w:left="3957" w:hanging="357"/>
      </w:pPr>
      <w:rPr>
        <w:rFonts w:hint="default"/>
        <w:b/>
        <w:i w:val="0"/>
        <w:sz w:val="24"/>
      </w:rPr>
    </w:lvl>
  </w:abstractNum>
  <w:abstractNum w:abstractNumId="13" w15:restartNumberingAfterBreak="0">
    <w:nsid w:val="38A54764"/>
    <w:multiLevelType w:val="hybridMultilevel"/>
    <w:tmpl w:val="3A9E33A6"/>
    <w:lvl w:ilvl="0" w:tplc="3CF25D98">
      <w:start w:val="1"/>
      <w:numFmt w:val="bullet"/>
      <w:lvlText w:val=""/>
      <w:lvlJc w:val="left"/>
      <w:pPr>
        <w:ind w:left="360" w:hanging="360"/>
      </w:pPr>
      <w:rPr>
        <w:rFonts w:ascii="Wingdings 3" w:hAnsi="Wingdings 3" w:hint="default"/>
        <w:color w:val="006E6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F46F57"/>
    <w:multiLevelType w:val="hybridMultilevel"/>
    <w:tmpl w:val="46661D62"/>
    <w:lvl w:ilvl="0" w:tplc="3CF25D98">
      <w:start w:val="1"/>
      <w:numFmt w:val="bullet"/>
      <w:lvlText w:val=""/>
      <w:lvlJc w:val="left"/>
      <w:pPr>
        <w:ind w:left="360" w:hanging="360"/>
      </w:pPr>
      <w:rPr>
        <w:rFonts w:ascii="Wingdings 3" w:hAnsi="Wingdings 3" w:hint="default"/>
        <w:color w:val="006E6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DC1090"/>
    <w:multiLevelType w:val="hybridMultilevel"/>
    <w:tmpl w:val="0916DE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7F582C"/>
    <w:multiLevelType w:val="multilevel"/>
    <w:tmpl w:val="8BF8196A"/>
    <w:lvl w:ilvl="0">
      <w:start w:val="1"/>
      <w:numFmt w:val="decimal"/>
      <w:pStyle w:val="MPTSNumbertext"/>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17" w15:restartNumberingAfterBreak="0">
    <w:nsid w:val="4F0F32F9"/>
    <w:multiLevelType w:val="multilevel"/>
    <w:tmpl w:val="349CB0F0"/>
    <w:lvl w:ilvl="0">
      <w:start w:val="1"/>
      <w:numFmt w:val="bullet"/>
      <w:pStyle w:val="ListBullet"/>
      <w:lvlText w:val=""/>
      <w:lvlJc w:val="left"/>
      <w:pPr>
        <w:tabs>
          <w:tab w:val="num" w:pos="510"/>
        </w:tabs>
        <w:ind w:left="284" w:hanging="284"/>
      </w:pPr>
      <w:rPr>
        <w:rFonts w:ascii="Wingdings 3" w:hAnsi="Wingdings 3" w:hint="default"/>
        <w:b/>
        <w:i w:val="0"/>
        <w:color w:val="006E63"/>
        <w:sz w:val="18"/>
      </w:rPr>
    </w:lvl>
    <w:lvl w:ilvl="1">
      <w:start w:val="1"/>
      <w:numFmt w:val="bullet"/>
      <w:pStyle w:val="ListBullet2"/>
      <w:lvlText w:val=""/>
      <w:lvlJc w:val="left"/>
      <w:pPr>
        <w:tabs>
          <w:tab w:val="num" w:pos="794"/>
        </w:tabs>
        <w:ind w:left="568" w:hanging="284"/>
      </w:pPr>
      <w:rPr>
        <w:rFonts w:ascii="Wingdings 3" w:hAnsi="Wingdings 3" w:hint="default"/>
        <w:b/>
        <w:i w:val="0"/>
        <w:color w:val="80C7BC"/>
        <w:sz w:val="18"/>
      </w:rPr>
    </w:lvl>
    <w:lvl w:ilvl="2">
      <w:start w:val="1"/>
      <w:numFmt w:val="bullet"/>
      <w:pStyle w:val="ListBullet3"/>
      <w:lvlText w:val=""/>
      <w:lvlJc w:val="left"/>
      <w:pPr>
        <w:tabs>
          <w:tab w:val="num" w:pos="1078"/>
        </w:tabs>
        <w:ind w:left="852" w:hanging="284"/>
      </w:pPr>
      <w:rPr>
        <w:rFonts w:ascii="Wingdings 3" w:hAnsi="Wingdings 3" w:hint="default"/>
        <w:b/>
        <w:i w:val="0"/>
        <w:color w:val="FFCC68"/>
        <w:sz w:val="18"/>
      </w:rPr>
    </w:lvl>
    <w:lvl w:ilvl="3">
      <w:start w:val="1"/>
      <w:numFmt w:val="bullet"/>
      <w:pStyle w:val="ListBullet4"/>
      <w:lvlText w:val=""/>
      <w:lvlJc w:val="left"/>
      <w:pPr>
        <w:tabs>
          <w:tab w:val="num" w:pos="1362"/>
        </w:tabs>
        <w:ind w:left="1136" w:hanging="284"/>
      </w:pPr>
      <w:rPr>
        <w:rFonts w:ascii="Wingdings 3" w:hAnsi="Wingdings 3" w:hint="default"/>
        <w:b/>
        <w:i w:val="0"/>
        <w:color w:val="FFE6B3"/>
        <w:sz w:val="18"/>
      </w:rPr>
    </w:lvl>
    <w:lvl w:ilvl="4">
      <w:start w:val="1"/>
      <w:numFmt w:val="bullet"/>
      <w:pStyle w:val="ListBullet5"/>
      <w:lvlText w:val=""/>
      <w:lvlJc w:val="left"/>
      <w:pPr>
        <w:tabs>
          <w:tab w:val="num" w:pos="1646"/>
        </w:tabs>
        <w:ind w:left="1420" w:hanging="284"/>
      </w:pPr>
      <w:rPr>
        <w:rFonts w:ascii="Wingdings" w:hAnsi="Wingdings" w:hint="default"/>
        <w:b/>
        <w:i w:val="0"/>
        <w:color w:val="007268"/>
        <w:sz w:val="18"/>
      </w:rPr>
    </w:lvl>
    <w:lvl w:ilvl="5">
      <w:start w:val="1"/>
      <w:numFmt w:val="none"/>
      <w:lvlText w:val="%1.%2.%3.%4.%5.%6."/>
      <w:lvlJc w:val="left"/>
      <w:pPr>
        <w:tabs>
          <w:tab w:val="num" w:pos="1930"/>
        </w:tabs>
        <w:ind w:left="1704" w:hanging="284"/>
      </w:pPr>
      <w:rPr>
        <w:rFonts w:hint="default"/>
      </w:rPr>
    </w:lvl>
    <w:lvl w:ilvl="6">
      <w:start w:val="1"/>
      <w:numFmt w:val="none"/>
      <w:lvlText w:val="%1.%2.%3.%4.%5.%6.%7."/>
      <w:lvlJc w:val="left"/>
      <w:pPr>
        <w:tabs>
          <w:tab w:val="num" w:pos="2214"/>
        </w:tabs>
        <w:ind w:left="1988" w:hanging="284"/>
      </w:pPr>
      <w:rPr>
        <w:rFonts w:hint="default"/>
      </w:rPr>
    </w:lvl>
    <w:lvl w:ilvl="7">
      <w:start w:val="1"/>
      <w:numFmt w:val="none"/>
      <w:lvlText w:val="%1.%2.%3.%4.%5.%6.%7.%8."/>
      <w:lvlJc w:val="left"/>
      <w:pPr>
        <w:tabs>
          <w:tab w:val="num" w:pos="2498"/>
        </w:tabs>
        <w:ind w:left="2272" w:hanging="284"/>
      </w:pPr>
      <w:rPr>
        <w:rFonts w:hint="default"/>
      </w:rPr>
    </w:lvl>
    <w:lvl w:ilvl="8">
      <w:start w:val="1"/>
      <w:numFmt w:val="none"/>
      <w:lvlText w:val="%1.%2.%3.%4.%5.%6.%7.%8.%9."/>
      <w:lvlJc w:val="left"/>
      <w:pPr>
        <w:tabs>
          <w:tab w:val="num" w:pos="2782"/>
        </w:tabs>
        <w:ind w:left="2556" w:hanging="284"/>
      </w:pPr>
      <w:rPr>
        <w:rFonts w:hint="default"/>
      </w:rPr>
    </w:lvl>
  </w:abstractNum>
  <w:abstractNum w:abstractNumId="18" w15:restartNumberingAfterBreak="0">
    <w:nsid w:val="53400D4A"/>
    <w:multiLevelType w:val="hybridMultilevel"/>
    <w:tmpl w:val="7E366D34"/>
    <w:lvl w:ilvl="0" w:tplc="3CF25D98">
      <w:start w:val="1"/>
      <w:numFmt w:val="bullet"/>
      <w:lvlText w:val=""/>
      <w:lvlJc w:val="left"/>
      <w:pPr>
        <w:ind w:left="360" w:hanging="360"/>
      </w:pPr>
      <w:rPr>
        <w:rFonts w:ascii="Wingdings 3" w:hAnsi="Wingdings 3" w:hint="default"/>
        <w:color w:val="006E6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295B5D"/>
    <w:multiLevelType w:val="multilevel"/>
    <w:tmpl w:val="8BC20AA2"/>
    <w:lvl w:ilvl="0">
      <w:start w:val="1"/>
      <w:numFmt w:val="decimal"/>
      <w:lvlText w:val="%1"/>
      <w:lvlJc w:val="left"/>
      <w:pPr>
        <w:tabs>
          <w:tab w:val="num" w:pos="510"/>
        </w:tabs>
        <w:ind w:left="510" w:hanging="510"/>
      </w:pPr>
      <w:rPr>
        <w:rFonts w:ascii="Tahoma" w:hAnsi="Tahoma" w:hint="default"/>
        <w:b/>
        <w:i w:val="0"/>
        <w:sz w:val="24"/>
      </w:rPr>
    </w:lvl>
    <w:lvl w:ilvl="1">
      <w:start w:val="1"/>
      <w:numFmt w:val="lowerLetter"/>
      <w:pStyle w:val="ListNumber2"/>
      <w:lvlText w:val="%2"/>
      <w:lvlJc w:val="left"/>
      <w:pPr>
        <w:tabs>
          <w:tab w:val="num" w:pos="850"/>
        </w:tabs>
        <w:ind w:left="850" w:hanging="340"/>
      </w:pPr>
      <w:rPr>
        <w:rFonts w:ascii="Tahoma" w:hAnsi="Tahoma" w:hint="default"/>
        <w:b/>
        <w:i w:val="0"/>
        <w:color w:val="82C5BB"/>
        <w:sz w:val="24"/>
      </w:rPr>
    </w:lvl>
    <w:lvl w:ilvl="2">
      <w:start w:val="1"/>
      <w:numFmt w:val="lowerRoman"/>
      <w:pStyle w:val="ListNumber3"/>
      <w:lvlText w:val="%3"/>
      <w:lvlJc w:val="left"/>
      <w:pPr>
        <w:tabs>
          <w:tab w:val="num" w:pos="1304"/>
        </w:tabs>
        <w:ind w:left="1304" w:hanging="454"/>
      </w:pPr>
      <w:rPr>
        <w:rFonts w:ascii="Tahoma" w:hAnsi="Tahoma" w:hint="default"/>
        <w:b/>
        <w:i w:val="0"/>
        <w:sz w:val="24"/>
      </w:rPr>
    </w:lvl>
    <w:lvl w:ilvl="3">
      <w:start w:val="1"/>
      <w:numFmt w:val="decimal"/>
      <w:lvlText w:val="%4."/>
      <w:lvlJc w:val="left"/>
      <w:pPr>
        <w:tabs>
          <w:tab w:val="num" w:pos="1721"/>
        </w:tabs>
        <w:ind w:left="1361" w:firstLine="0"/>
      </w:pPr>
      <w:rPr>
        <w:rFonts w:hint="default"/>
      </w:rPr>
    </w:lvl>
    <w:lvl w:ilvl="4">
      <w:start w:val="1"/>
      <w:numFmt w:val="lowerLetter"/>
      <w:lvlText w:val="%5."/>
      <w:lvlJc w:val="left"/>
      <w:pPr>
        <w:tabs>
          <w:tab w:val="num" w:pos="1721"/>
        </w:tabs>
        <w:ind w:left="1361" w:firstLine="0"/>
      </w:pPr>
      <w:rPr>
        <w:rFonts w:hint="default"/>
      </w:rPr>
    </w:lvl>
    <w:lvl w:ilvl="5">
      <w:start w:val="1"/>
      <w:numFmt w:val="lowerRoman"/>
      <w:lvlText w:val="%6."/>
      <w:lvlJc w:val="left"/>
      <w:pPr>
        <w:tabs>
          <w:tab w:val="num" w:pos="2081"/>
        </w:tabs>
        <w:ind w:left="1361" w:firstLine="0"/>
      </w:pPr>
      <w:rPr>
        <w:rFonts w:hint="default"/>
      </w:rPr>
    </w:lvl>
    <w:lvl w:ilvl="6">
      <w:start w:val="1"/>
      <w:numFmt w:val="decimal"/>
      <w:lvlText w:val="%7."/>
      <w:lvlJc w:val="left"/>
      <w:pPr>
        <w:tabs>
          <w:tab w:val="num" w:pos="1721"/>
        </w:tabs>
        <w:ind w:left="1361" w:firstLine="0"/>
      </w:pPr>
      <w:rPr>
        <w:rFonts w:hint="default"/>
      </w:rPr>
    </w:lvl>
    <w:lvl w:ilvl="7">
      <w:start w:val="1"/>
      <w:numFmt w:val="lowerLetter"/>
      <w:lvlText w:val="%8."/>
      <w:lvlJc w:val="left"/>
      <w:pPr>
        <w:tabs>
          <w:tab w:val="num" w:pos="1721"/>
        </w:tabs>
        <w:ind w:left="1361" w:firstLine="0"/>
      </w:pPr>
      <w:rPr>
        <w:rFonts w:hint="default"/>
      </w:rPr>
    </w:lvl>
    <w:lvl w:ilvl="8">
      <w:start w:val="1"/>
      <w:numFmt w:val="lowerRoman"/>
      <w:lvlText w:val="%9."/>
      <w:lvlJc w:val="left"/>
      <w:pPr>
        <w:tabs>
          <w:tab w:val="num" w:pos="2081"/>
        </w:tabs>
        <w:ind w:left="1361" w:firstLine="0"/>
      </w:pPr>
      <w:rPr>
        <w:rFonts w:hint="default"/>
      </w:rPr>
    </w:lvl>
  </w:abstractNum>
  <w:abstractNum w:abstractNumId="20" w15:restartNumberingAfterBreak="0">
    <w:nsid w:val="594A2FE6"/>
    <w:multiLevelType w:val="hybridMultilevel"/>
    <w:tmpl w:val="C868F47E"/>
    <w:lvl w:ilvl="0" w:tplc="3CF25D98">
      <w:start w:val="1"/>
      <w:numFmt w:val="bullet"/>
      <w:lvlText w:val=""/>
      <w:lvlJc w:val="left"/>
      <w:pPr>
        <w:ind w:left="360" w:hanging="360"/>
      </w:pPr>
      <w:rPr>
        <w:rFonts w:ascii="Wingdings 3" w:hAnsi="Wingdings 3" w:hint="default"/>
        <w:color w:val="006E6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C52BA2"/>
    <w:multiLevelType w:val="hybridMultilevel"/>
    <w:tmpl w:val="28327830"/>
    <w:lvl w:ilvl="0" w:tplc="3CF25D98">
      <w:start w:val="1"/>
      <w:numFmt w:val="bullet"/>
      <w:lvlText w:val=""/>
      <w:lvlJc w:val="left"/>
      <w:pPr>
        <w:ind w:left="360" w:hanging="360"/>
      </w:pPr>
      <w:rPr>
        <w:rFonts w:ascii="Wingdings 3" w:hAnsi="Wingdings 3" w:hint="default"/>
        <w:color w:val="006E63"/>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DE44783"/>
    <w:multiLevelType w:val="hybridMultilevel"/>
    <w:tmpl w:val="61FA3A18"/>
    <w:lvl w:ilvl="0" w:tplc="3CF25D98">
      <w:start w:val="1"/>
      <w:numFmt w:val="bullet"/>
      <w:lvlText w:val=""/>
      <w:lvlJc w:val="left"/>
      <w:pPr>
        <w:ind w:left="360" w:hanging="360"/>
      </w:pPr>
      <w:rPr>
        <w:rFonts w:ascii="Wingdings 3" w:hAnsi="Wingdings 3" w:hint="default"/>
        <w:color w:val="006E6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731F82"/>
    <w:multiLevelType w:val="hybridMultilevel"/>
    <w:tmpl w:val="5B6EE246"/>
    <w:lvl w:ilvl="0" w:tplc="1CB01498">
      <w:start w:val="3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E69E3"/>
    <w:multiLevelType w:val="hybridMultilevel"/>
    <w:tmpl w:val="FCF4D094"/>
    <w:lvl w:ilvl="0" w:tplc="FFFFFFFF">
      <w:start w:val="1"/>
      <w:numFmt w:val="bullet"/>
      <w:lvlText w:val=""/>
      <w:lvlJc w:val="left"/>
      <w:pPr>
        <w:tabs>
          <w:tab w:val="num" w:pos="284"/>
        </w:tabs>
        <w:ind w:left="227" w:hanging="227"/>
      </w:pPr>
      <w:rPr>
        <w:rFonts w:ascii="Wingdings" w:hAnsi="Wingdings" w:hint="default"/>
        <w:color w:val="0000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185669"/>
    <w:multiLevelType w:val="multilevel"/>
    <w:tmpl w:val="FAE6DDE8"/>
    <w:lvl w:ilvl="0">
      <w:start w:val="1"/>
      <w:numFmt w:val="bullet"/>
      <w:lvlText w:val=""/>
      <w:lvlJc w:val="left"/>
      <w:pPr>
        <w:tabs>
          <w:tab w:val="num" w:pos="720"/>
        </w:tabs>
        <w:ind w:left="720" w:hanging="360"/>
      </w:pPr>
      <w:rPr>
        <w:rFonts w:ascii="Wingdings" w:hAnsi="Wingdings" w:hint="default"/>
        <w:color w:val="000000"/>
        <w:sz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6D2E87"/>
    <w:multiLevelType w:val="hybridMultilevel"/>
    <w:tmpl w:val="1988B472"/>
    <w:lvl w:ilvl="0" w:tplc="3CF25D98">
      <w:start w:val="1"/>
      <w:numFmt w:val="bullet"/>
      <w:lvlText w:val=""/>
      <w:lvlJc w:val="left"/>
      <w:pPr>
        <w:ind w:left="720" w:hanging="360"/>
      </w:pPr>
      <w:rPr>
        <w:rFonts w:ascii="Wingdings 3" w:hAnsi="Wingdings 3" w:hint="default"/>
        <w:color w:val="006E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91482"/>
    <w:multiLevelType w:val="hybridMultilevel"/>
    <w:tmpl w:val="8D7C3BC0"/>
    <w:lvl w:ilvl="0" w:tplc="5D9A6308">
      <w:start w:val="3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665A3E"/>
    <w:multiLevelType w:val="hybridMultilevel"/>
    <w:tmpl w:val="49E66C6C"/>
    <w:lvl w:ilvl="0" w:tplc="3CF25D98">
      <w:start w:val="1"/>
      <w:numFmt w:val="bullet"/>
      <w:lvlText w:val=""/>
      <w:lvlJc w:val="left"/>
      <w:pPr>
        <w:ind w:left="360" w:hanging="360"/>
      </w:pPr>
      <w:rPr>
        <w:rFonts w:ascii="Wingdings 3" w:hAnsi="Wingdings 3" w:hint="default"/>
        <w:color w:val="006E6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57565E"/>
    <w:multiLevelType w:val="multilevel"/>
    <w:tmpl w:val="453A45AA"/>
    <w:lvl w:ilvl="0">
      <w:start w:val="1"/>
      <w:numFmt w:val="lowerLetter"/>
      <w:lvlRestart w:val="0"/>
      <w:lvlText w:val="%1"/>
      <w:lvlJc w:val="left"/>
      <w:pPr>
        <w:tabs>
          <w:tab w:val="num" w:pos="850"/>
        </w:tabs>
        <w:ind w:left="850" w:hanging="340"/>
      </w:pPr>
      <w:rPr>
        <w:rFonts w:ascii="Tahoma" w:hAnsi="Tahoma" w:hint="default"/>
        <w:b/>
        <w:i w:val="0"/>
        <w:color w:val="007268"/>
        <w:sz w:val="24"/>
        <w:u w:val="none"/>
      </w:rPr>
    </w:lvl>
    <w:lvl w:ilvl="1">
      <w:start w:val="1"/>
      <w:numFmt w:val="lowerLetter"/>
      <w:lvlText w:val="%2"/>
      <w:lvlJc w:val="left"/>
      <w:pPr>
        <w:tabs>
          <w:tab w:val="num" w:pos="1440"/>
        </w:tabs>
        <w:ind w:left="1440" w:hanging="720"/>
      </w:pPr>
      <w:rPr>
        <w:rFonts w:hint="default"/>
        <w:b/>
        <w:i w:val="0"/>
        <w:color w:val="2F9F9F"/>
        <w:sz w:val="24"/>
      </w:rPr>
    </w:lvl>
    <w:lvl w:ilvl="2">
      <w:start w:val="1"/>
      <w:numFmt w:val="lowerRoman"/>
      <w:lvlText w:val="%3"/>
      <w:lvlJc w:val="left"/>
      <w:pPr>
        <w:tabs>
          <w:tab w:val="num" w:pos="2160"/>
        </w:tabs>
        <w:ind w:left="1797" w:hanging="357"/>
      </w:pPr>
      <w:rPr>
        <w:rFonts w:hint="default"/>
        <w:b/>
        <w:i w:val="0"/>
        <w:sz w:val="24"/>
      </w:rPr>
    </w:lvl>
    <w:lvl w:ilvl="3">
      <w:start w:val="1"/>
      <w:numFmt w:val="decimal"/>
      <w:lvlText w:val="%4"/>
      <w:lvlJc w:val="left"/>
      <w:pPr>
        <w:tabs>
          <w:tab w:val="num" w:pos="2160"/>
        </w:tabs>
        <w:ind w:left="2160" w:hanging="363"/>
      </w:pPr>
      <w:rPr>
        <w:rFonts w:hint="default"/>
        <w:b/>
        <w:i w:val="0"/>
        <w:sz w:val="24"/>
      </w:rPr>
    </w:lvl>
    <w:lvl w:ilvl="4">
      <w:start w:val="1"/>
      <w:numFmt w:val="lowerLetter"/>
      <w:lvlText w:val="%5"/>
      <w:lvlJc w:val="left"/>
      <w:pPr>
        <w:tabs>
          <w:tab w:val="num" w:pos="2517"/>
        </w:tabs>
        <w:ind w:left="2517" w:hanging="357"/>
      </w:pPr>
      <w:rPr>
        <w:rFonts w:hint="default"/>
        <w:b/>
        <w:i w:val="0"/>
        <w:color w:val="2F9F9F"/>
        <w:sz w:val="24"/>
      </w:rPr>
    </w:lvl>
    <w:lvl w:ilvl="5">
      <w:start w:val="1"/>
      <w:numFmt w:val="lowerRoman"/>
      <w:lvlText w:val="%6"/>
      <w:lvlJc w:val="left"/>
      <w:pPr>
        <w:tabs>
          <w:tab w:val="num" w:pos="3237"/>
        </w:tabs>
        <w:ind w:left="2880" w:hanging="363"/>
      </w:pPr>
      <w:rPr>
        <w:rFonts w:hint="default"/>
        <w:b/>
        <w:i w:val="0"/>
        <w:sz w:val="24"/>
      </w:rPr>
    </w:lvl>
    <w:lvl w:ilvl="6">
      <w:start w:val="1"/>
      <w:numFmt w:val="decimal"/>
      <w:lvlText w:val="%7"/>
      <w:lvlJc w:val="left"/>
      <w:pPr>
        <w:tabs>
          <w:tab w:val="num" w:pos="3237"/>
        </w:tabs>
        <w:ind w:left="3237" w:hanging="357"/>
      </w:pPr>
      <w:rPr>
        <w:rFonts w:hint="default"/>
        <w:b/>
        <w:i w:val="0"/>
        <w:sz w:val="24"/>
      </w:rPr>
    </w:lvl>
    <w:lvl w:ilvl="7">
      <w:start w:val="1"/>
      <w:numFmt w:val="lowerLetter"/>
      <w:lvlText w:val="%8"/>
      <w:lvlJc w:val="left"/>
      <w:pPr>
        <w:tabs>
          <w:tab w:val="num" w:pos="3600"/>
        </w:tabs>
        <w:ind w:left="3600" w:hanging="363"/>
      </w:pPr>
      <w:rPr>
        <w:rFonts w:hint="default"/>
        <w:b/>
        <w:i w:val="0"/>
        <w:color w:val="2F9F9F"/>
        <w:sz w:val="24"/>
      </w:rPr>
    </w:lvl>
    <w:lvl w:ilvl="8">
      <w:start w:val="1"/>
      <w:numFmt w:val="lowerRoman"/>
      <w:lvlText w:val="%9"/>
      <w:lvlJc w:val="left"/>
      <w:pPr>
        <w:tabs>
          <w:tab w:val="num" w:pos="4320"/>
        </w:tabs>
        <w:ind w:left="3957" w:hanging="357"/>
      </w:pPr>
      <w:rPr>
        <w:rFonts w:hint="default"/>
        <w:b/>
        <w:i w:val="0"/>
        <w:sz w:val="24"/>
      </w:rPr>
    </w:lvl>
  </w:abstractNum>
  <w:abstractNum w:abstractNumId="30" w15:restartNumberingAfterBreak="0">
    <w:nsid w:val="79A9283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2118D8"/>
    <w:multiLevelType w:val="multilevel"/>
    <w:tmpl w:val="7F0C6A68"/>
    <w:lvl w:ilvl="0">
      <w:start w:val="1"/>
      <w:numFmt w:val="lowerRoman"/>
      <w:lvlRestart w:val="0"/>
      <w:pStyle w:val="MPTSRomantext"/>
      <w:lvlText w:val="%1"/>
      <w:lvlJc w:val="left"/>
      <w:pPr>
        <w:tabs>
          <w:tab w:val="num" w:pos="1304"/>
        </w:tabs>
        <w:ind w:left="1304" w:hanging="454"/>
      </w:pPr>
      <w:rPr>
        <w:rFonts w:ascii="Tahoma" w:hAnsi="Tahoma" w:cs="Tahoma"/>
        <w:b/>
        <w:color w:val="000000"/>
        <w:sz w:val="24"/>
        <w:u w:val="none"/>
      </w:rPr>
    </w:lvl>
    <w:lvl w:ilvl="1">
      <w:start w:val="1"/>
      <w:numFmt w:val="lowerRoman"/>
      <w:lvlText w:val="%1.%2"/>
      <w:lvlJc w:val="left"/>
      <w:pPr>
        <w:tabs>
          <w:tab w:val="num" w:pos="1077"/>
        </w:tabs>
        <w:ind w:left="1077" w:hanging="431"/>
      </w:pPr>
      <w:rPr>
        <w:rFonts w:ascii="Tahoma" w:hAnsi="Tahoma" w:cs="Tahoma"/>
        <w:b/>
        <w:sz w:val="24"/>
      </w:rPr>
    </w:lvl>
    <w:lvl w:ilvl="2">
      <w:start w:val="1"/>
      <w:numFmt w:val="lowerRoman"/>
      <w:lvlText w:val="%1.%2.%3"/>
      <w:lvlJc w:val="left"/>
      <w:pPr>
        <w:tabs>
          <w:tab w:val="num" w:pos="1723"/>
        </w:tabs>
        <w:ind w:left="1508" w:hanging="505"/>
      </w:pPr>
      <w:rPr>
        <w:rFonts w:ascii="Tahoma" w:hAnsi="Tahoma" w:cs="Tahoma"/>
        <w:b/>
        <w:sz w:val="24"/>
      </w:rPr>
    </w:lvl>
    <w:lvl w:ilvl="3">
      <w:start w:val="1"/>
      <w:numFmt w:val="lowerRoman"/>
      <w:lvlText w:val="%1.%2.%3.%4"/>
      <w:lvlJc w:val="left"/>
      <w:pPr>
        <w:tabs>
          <w:tab w:val="num" w:pos="2806"/>
        </w:tabs>
        <w:ind w:left="2013" w:hanging="647"/>
      </w:pPr>
      <w:rPr>
        <w:rFonts w:ascii="Tahoma" w:hAnsi="Tahoma" w:cs="Tahoma"/>
        <w:b/>
        <w:sz w:val="24"/>
      </w:rPr>
    </w:lvl>
    <w:lvl w:ilvl="4">
      <w:start w:val="1"/>
      <w:numFmt w:val="lowerRoman"/>
      <w:lvlText w:val="%1.%2.%3.%4.%5"/>
      <w:lvlJc w:val="left"/>
      <w:pPr>
        <w:tabs>
          <w:tab w:val="num" w:pos="3526"/>
        </w:tabs>
        <w:ind w:left="2517" w:hanging="794"/>
      </w:pPr>
      <w:rPr>
        <w:rFonts w:ascii="Tahoma" w:hAnsi="Tahoma" w:cs="Tahoma"/>
        <w:b/>
        <w:sz w:val="24"/>
      </w:rPr>
    </w:lvl>
    <w:lvl w:ilvl="5">
      <w:start w:val="1"/>
      <w:numFmt w:val="lowerRoman"/>
      <w:lvlText w:val="%1.%2.%3.%4.%5.%6"/>
      <w:lvlJc w:val="left"/>
      <w:pPr>
        <w:tabs>
          <w:tab w:val="num" w:pos="4241"/>
        </w:tabs>
        <w:ind w:left="3022" w:hanging="936"/>
      </w:pPr>
      <w:rPr>
        <w:rFonts w:ascii="Tahoma" w:hAnsi="Tahoma" w:cs="Tahoma"/>
        <w:b/>
        <w:sz w:val="24"/>
      </w:rPr>
    </w:lvl>
    <w:lvl w:ilvl="6">
      <w:start w:val="1"/>
      <w:numFmt w:val="lowerRoman"/>
      <w:lvlText w:val="%1.%2.%3.%4.%5.%6.%7"/>
      <w:lvlJc w:val="left"/>
      <w:pPr>
        <w:tabs>
          <w:tab w:val="num" w:pos="4961"/>
        </w:tabs>
        <w:ind w:left="3526" w:hanging="1083"/>
      </w:pPr>
      <w:rPr>
        <w:rFonts w:ascii="Tahoma" w:hAnsi="Tahoma" w:cs="Tahoma"/>
        <w:b/>
        <w:sz w:val="24"/>
      </w:rPr>
    </w:lvl>
    <w:lvl w:ilvl="7">
      <w:start w:val="1"/>
      <w:numFmt w:val="lowerRoman"/>
      <w:lvlText w:val="%1.%2.%3.%4.%5.%6.%7.%8"/>
      <w:lvlJc w:val="left"/>
      <w:pPr>
        <w:tabs>
          <w:tab w:val="num" w:pos="5681"/>
        </w:tabs>
        <w:ind w:left="4025" w:hanging="1219"/>
      </w:pPr>
      <w:rPr>
        <w:rFonts w:ascii="Tahoma" w:hAnsi="Tahoma" w:cs="Tahoma"/>
        <w:b/>
        <w:sz w:val="24"/>
      </w:rPr>
    </w:lvl>
    <w:lvl w:ilvl="8">
      <w:start w:val="1"/>
      <w:numFmt w:val="lowerRoman"/>
      <w:lvlText w:val="%1.%2.%3.%4.%5.%6.%7.%8.%9"/>
      <w:lvlJc w:val="left"/>
      <w:pPr>
        <w:tabs>
          <w:tab w:val="num" w:pos="6401"/>
        </w:tabs>
        <w:ind w:left="4603" w:hanging="1440"/>
      </w:pPr>
      <w:rPr>
        <w:rFonts w:ascii="Tahoma" w:hAnsi="Tahoma" w:cs="Tahoma"/>
        <w:b/>
        <w:sz w:val="24"/>
      </w:rPr>
    </w:lvl>
  </w:abstractNum>
  <w:abstractNum w:abstractNumId="32" w15:restartNumberingAfterBreak="0">
    <w:nsid w:val="7C406CFD"/>
    <w:multiLevelType w:val="hybridMultilevel"/>
    <w:tmpl w:val="39FE54E0"/>
    <w:lvl w:ilvl="0" w:tplc="743E1144">
      <w:start w:val="1"/>
      <w:numFmt w:val="bullet"/>
      <w:lvlText w:val=""/>
      <w:lvlJc w:val="left"/>
      <w:pPr>
        <w:ind w:left="360" w:hanging="360"/>
      </w:pPr>
      <w:rPr>
        <w:rFonts w:ascii="Wingdings 3" w:hAnsi="Wingdings 3" w:hint="default"/>
        <w:color w:val="006E63"/>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EC0589E"/>
    <w:multiLevelType w:val="hybridMultilevel"/>
    <w:tmpl w:val="F648D4B4"/>
    <w:lvl w:ilvl="0" w:tplc="74AEBEF8">
      <w:start w:val="1"/>
      <w:numFmt w:val="bullet"/>
      <w:lvlText w:val=""/>
      <w:lvlJc w:val="left"/>
      <w:pPr>
        <w:ind w:left="720" w:hanging="360"/>
      </w:pPr>
      <w:rPr>
        <w:rFonts w:ascii="Wingdings 3" w:hAnsi="Wingdings 3" w:hint="default"/>
        <w:color w:val="A1E1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870614">
    <w:abstractNumId w:val="16"/>
  </w:num>
  <w:num w:numId="2" w16cid:durableId="1897009849">
    <w:abstractNumId w:val="5"/>
  </w:num>
  <w:num w:numId="3" w16cid:durableId="1023433055">
    <w:abstractNumId w:val="16"/>
  </w:num>
  <w:num w:numId="4" w16cid:durableId="833227633">
    <w:abstractNumId w:val="31"/>
  </w:num>
  <w:num w:numId="5" w16cid:durableId="211889950">
    <w:abstractNumId w:val="17"/>
  </w:num>
  <w:num w:numId="6" w16cid:durableId="2132429605">
    <w:abstractNumId w:val="19"/>
  </w:num>
  <w:num w:numId="7" w16cid:durableId="1665936561">
    <w:abstractNumId w:val="5"/>
  </w:num>
  <w:num w:numId="8" w16cid:durableId="649291674">
    <w:abstractNumId w:val="16"/>
  </w:num>
  <w:num w:numId="9" w16cid:durableId="867447680">
    <w:abstractNumId w:val="31"/>
  </w:num>
  <w:num w:numId="10" w16cid:durableId="1927497864">
    <w:abstractNumId w:val="17"/>
  </w:num>
  <w:num w:numId="11" w16cid:durableId="2094742826">
    <w:abstractNumId w:val="17"/>
  </w:num>
  <w:num w:numId="12" w16cid:durableId="1123185115">
    <w:abstractNumId w:val="17"/>
  </w:num>
  <w:num w:numId="13" w16cid:durableId="1308515639">
    <w:abstractNumId w:val="17"/>
  </w:num>
  <w:num w:numId="14" w16cid:durableId="122386718">
    <w:abstractNumId w:val="17"/>
  </w:num>
  <w:num w:numId="15" w16cid:durableId="309021504">
    <w:abstractNumId w:val="19"/>
  </w:num>
  <w:num w:numId="16" w16cid:durableId="882639956">
    <w:abstractNumId w:val="19"/>
  </w:num>
  <w:num w:numId="17" w16cid:durableId="1809013606">
    <w:abstractNumId w:val="1"/>
  </w:num>
  <w:num w:numId="18" w16cid:durableId="1536887962">
    <w:abstractNumId w:val="0"/>
  </w:num>
  <w:num w:numId="19" w16cid:durableId="1947276121">
    <w:abstractNumId w:val="30"/>
  </w:num>
  <w:num w:numId="20" w16cid:durableId="359203945">
    <w:abstractNumId w:val="15"/>
  </w:num>
  <w:num w:numId="21" w16cid:durableId="500702570">
    <w:abstractNumId w:val="7"/>
  </w:num>
  <w:num w:numId="22" w16cid:durableId="1594973702">
    <w:abstractNumId w:val="25"/>
  </w:num>
  <w:num w:numId="23" w16cid:durableId="1590968143">
    <w:abstractNumId w:val="12"/>
  </w:num>
  <w:num w:numId="24" w16cid:durableId="1679380354">
    <w:abstractNumId w:val="24"/>
  </w:num>
  <w:num w:numId="25" w16cid:durableId="511996524">
    <w:abstractNumId w:val="29"/>
  </w:num>
  <w:num w:numId="26" w16cid:durableId="1164974470">
    <w:abstractNumId w:val="17"/>
  </w:num>
  <w:num w:numId="27" w16cid:durableId="139159792">
    <w:abstractNumId w:val="17"/>
  </w:num>
  <w:num w:numId="28" w16cid:durableId="753867078">
    <w:abstractNumId w:val="17"/>
  </w:num>
  <w:num w:numId="29" w16cid:durableId="735783054">
    <w:abstractNumId w:val="17"/>
  </w:num>
  <w:num w:numId="30" w16cid:durableId="1787115583">
    <w:abstractNumId w:val="17"/>
  </w:num>
  <w:num w:numId="31" w16cid:durableId="799349495">
    <w:abstractNumId w:val="12"/>
  </w:num>
  <w:num w:numId="32" w16cid:durableId="170881248">
    <w:abstractNumId w:val="17"/>
  </w:num>
  <w:num w:numId="33" w16cid:durableId="393701538">
    <w:abstractNumId w:val="17"/>
  </w:num>
  <w:num w:numId="34" w16cid:durableId="2083866210">
    <w:abstractNumId w:val="17"/>
  </w:num>
  <w:num w:numId="35" w16cid:durableId="369040295">
    <w:abstractNumId w:val="17"/>
  </w:num>
  <w:num w:numId="36" w16cid:durableId="894438220">
    <w:abstractNumId w:val="17"/>
  </w:num>
  <w:num w:numId="37" w16cid:durableId="713234950">
    <w:abstractNumId w:val="19"/>
  </w:num>
  <w:num w:numId="38" w16cid:durableId="487327042">
    <w:abstractNumId w:val="19"/>
  </w:num>
  <w:num w:numId="39" w16cid:durableId="725570202">
    <w:abstractNumId w:val="5"/>
  </w:num>
  <w:num w:numId="40" w16cid:durableId="968822681">
    <w:abstractNumId w:val="16"/>
  </w:num>
  <w:num w:numId="41" w16cid:durableId="537089982">
    <w:abstractNumId w:val="31"/>
  </w:num>
  <w:num w:numId="42" w16cid:durableId="1166893867">
    <w:abstractNumId w:val="32"/>
  </w:num>
  <w:num w:numId="43" w16cid:durableId="1778214609">
    <w:abstractNumId w:val="4"/>
  </w:num>
  <w:num w:numId="44" w16cid:durableId="1148475109">
    <w:abstractNumId w:val="3"/>
  </w:num>
  <w:num w:numId="45" w16cid:durableId="1132022818">
    <w:abstractNumId w:val="2"/>
  </w:num>
  <w:num w:numId="46" w16cid:durableId="263616322">
    <w:abstractNumId w:val="6"/>
  </w:num>
  <w:num w:numId="47" w16cid:durableId="749355662">
    <w:abstractNumId w:val="23"/>
  </w:num>
  <w:num w:numId="48" w16cid:durableId="864635069">
    <w:abstractNumId w:val="27"/>
  </w:num>
  <w:num w:numId="49" w16cid:durableId="1602495688">
    <w:abstractNumId w:val="10"/>
  </w:num>
  <w:num w:numId="50" w16cid:durableId="1149638440">
    <w:abstractNumId w:val="6"/>
  </w:num>
  <w:num w:numId="51" w16cid:durableId="1073091097">
    <w:abstractNumId w:val="28"/>
  </w:num>
  <w:num w:numId="52" w16cid:durableId="1217543671">
    <w:abstractNumId w:val="26"/>
  </w:num>
  <w:num w:numId="53" w16cid:durableId="659774171">
    <w:abstractNumId w:val="18"/>
  </w:num>
  <w:num w:numId="54" w16cid:durableId="1475760502">
    <w:abstractNumId w:val="21"/>
  </w:num>
  <w:num w:numId="55" w16cid:durableId="1220245443">
    <w:abstractNumId w:val="11"/>
  </w:num>
  <w:num w:numId="56" w16cid:durableId="347752410">
    <w:abstractNumId w:val="13"/>
  </w:num>
  <w:num w:numId="57" w16cid:durableId="519897849">
    <w:abstractNumId w:val="14"/>
  </w:num>
  <w:num w:numId="58" w16cid:durableId="2072725327">
    <w:abstractNumId w:val="20"/>
  </w:num>
  <w:num w:numId="59" w16cid:durableId="1353065975">
    <w:abstractNumId w:val="8"/>
  </w:num>
  <w:num w:numId="60" w16cid:durableId="1350987081">
    <w:abstractNumId w:val="22"/>
  </w:num>
  <w:num w:numId="61" w16cid:durableId="1773864415">
    <w:abstractNumId w:val="33"/>
  </w:num>
  <w:num w:numId="62" w16cid:durableId="123643130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3e5185,#60adb8"/>
    </o:shapedefaults>
  </w:hdrShapeDefaults>
  <w:footnotePr>
    <w:numFmt w:val="chicago"/>
    <w:numRestart w:val="eachPage"/>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yMLe0MDQztDA3NjRV0lEKTi0uzszPAykwNKgFACa5ycwtAAAA"/>
  </w:docVars>
  <w:rsids>
    <w:rsidRoot w:val="0066760F"/>
    <w:rsid w:val="00005C5C"/>
    <w:rsid w:val="000242ED"/>
    <w:rsid w:val="00025D44"/>
    <w:rsid w:val="00027967"/>
    <w:rsid w:val="0004702B"/>
    <w:rsid w:val="0005476F"/>
    <w:rsid w:val="00056D15"/>
    <w:rsid w:val="000650C4"/>
    <w:rsid w:val="00095710"/>
    <w:rsid w:val="000A5377"/>
    <w:rsid w:val="000B2A3D"/>
    <w:rsid w:val="000D0376"/>
    <w:rsid w:val="000D13A3"/>
    <w:rsid w:val="00125C11"/>
    <w:rsid w:val="001335B7"/>
    <w:rsid w:val="0013527E"/>
    <w:rsid w:val="00137826"/>
    <w:rsid w:val="00146B99"/>
    <w:rsid w:val="00155B07"/>
    <w:rsid w:val="001562B6"/>
    <w:rsid w:val="001567BD"/>
    <w:rsid w:val="00167CDA"/>
    <w:rsid w:val="00185B6C"/>
    <w:rsid w:val="00195D4C"/>
    <w:rsid w:val="001A1BB6"/>
    <w:rsid w:val="001A395D"/>
    <w:rsid w:val="001C0B92"/>
    <w:rsid w:val="001D1C41"/>
    <w:rsid w:val="001D51D5"/>
    <w:rsid w:val="001D5EAD"/>
    <w:rsid w:val="002044A2"/>
    <w:rsid w:val="00221DDB"/>
    <w:rsid w:val="00240383"/>
    <w:rsid w:val="002459E9"/>
    <w:rsid w:val="00267049"/>
    <w:rsid w:val="00271129"/>
    <w:rsid w:val="00284835"/>
    <w:rsid w:val="002A2501"/>
    <w:rsid w:val="002B3C4D"/>
    <w:rsid w:val="002D1409"/>
    <w:rsid w:val="002D3996"/>
    <w:rsid w:val="00305C24"/>
    <w:rsid w:val="00314231"/>
    <w:rsid w:val="0032526B"/>
    <w:rsid w:val="003259F7"/>
    <w:rsid w:val="00327E86"/>
    <w:rsid w:val="00360856"/>
    <w:rsid w:val="00393B2B"/>
    <w:rsid w:val="003C0359"/>
    <w:rsid w:val="003D5D1A"/>
    <w:rsid w:val="003D7906"/>
    <w:rsid w:val="003E5CD3"/>
    <w:rsid w:val="003F06DD"/>
    <w:rsid w:val="003F1BE1"/>
    <w:rsid w:val="00411C3C"/>
    <w:rsid w:val="004218BB"/>
    <w:rsid w:val="0043161A"/>
    <w:rsid w:val="00435AB0"/>
    <w:rsid w:val="00444B2E"/>
    <w:rsid w:val="00466326"/>
    <w:rsid w:val="004703F5"/>
    <w:rsid w:val="00476653"/>
    <w:rsid w:val="00484782"/>
    <w:rsid w:val="004A73C9"/>
    <w:rsid w:val="004B2A2B"/>
    <w:rsid w:val="004B3B74"/>
    <w:rsid w:val="004C3096"/>
    <w:rsid w:val="004C505E"/>
    <w:rsid w:val="004D422E"/>
    <w:rsid w:val="004E240A"/>
    <w:rsid w:val="00503AC6"/>
    <w:rsid w:val="00503BBF"/>
    <w:rsid w:val="00540C60"/>
    <w:rsid w:val="00541EBA"/>
    <w:rsid w:val="00564269"/>
    <w:rsid w:val="00564BD9"/>
    <w:rsid w:val="00573BEE"/>
    <w:rsid w:val="005A4CA7"/>
    <w:rsid w:val="005C610D"/>
    <w:rsid w:val="005F699A"/>
    <w:rsid w:val="00611E95"/>
    <w:rsid w:val="00637A10"/>
    <w:rsid w:val="00641A33"/>
    <w:rsid w:val="00645AD6"/>
    <w:rsid w:val="0066760F"/>
    <w:rsid w:val="0067725E"/>
    <w:rsid w:val="00694E6E"/>
    <w:rsid w:val="006E1645"/>
    <w:rsid w:val="006F1393"/>
    <w:rsid w:val="006F1FD4"/>
    <w:rsid w:val="00722E1C"/>
    <w:rsid w:val="00734CF8"/>
    <w:rsid w:val="00735567"/>
    <w:rsid w:val="007400E0"/>
    <w:rsid w:val="00771CAF"/>
    <w:rsid w:val="00776BA4"/>
    <w:rsid w:val="007865B2"/>
    <w:rsid w:val="007D2CC6"/>
    <w:rsid w:val="007F6A2A"/>
    <w:rsid w:val="007F6F66"/>
    <w:rsid w:val="00805EC5"/>
    <w:rsid w:val="0082315D"/>
    <w:rsid w:val="00824EBE"/>
    <w:rsid w:val="008257EA"/>
    <w:rsid w:val="00834FB9"/>
    <w:rsid w:val="00843CCE"/>
    <w:rsid w:val="0085002C"/>
    <w:rsid w:val="00850EF6"/>
    <w:rsid w:val="008657E7"/>
    <w:rsid w:val="008819C1"/>
    <w:rsid w:val="0088237A"/>
    <w:rsid w:val="0088288F"/>
    <w:rsid w:val="00893B04"/>
    <w:rsid w:val="008972AE"/>
    <w:rsid w:val="008C20AC"/>
    <w:rsid w:val="008C7410"/>
    <w:rsid w:val="008C7891"/>
    <w:rsid w:val="008E1DE2"/>
    <w:rsid w:val="008E7EFB"/>
    <w:rsid w:val="009015CB"/>
    <w:rsid w:val="00926FAC"/>
    <w:rsid w:val="009271B8"/>
    <w:rsid w:val="009428E1"/>
    <w:rsid w:val="009438EB"/>
    <w:rsid w:val="0095417A"/>
    <w:rsid w:val="009625E7"/>
    <w:rsid w:val="00965FFE"/>
    <w:rsid w:val="00967622"/>
    <w:rsid w:val="00967996"/>
    <w:rsid w:val="00974800"/>
    <w:rsid w:val="009B0E38"/>
    <w:rsid w:val="009F2000"/>
    <w:rsid w:val="00A025EA"/>
    <w:rsid w:val="00A274C8"/>
    <w:rsid w:val="00A337C9"/>
    <w:rsid w:val="00A61F5F"/>
    <w:rsid w:val="00A72FB0"/>
    <w:rsid w:val="00A76EE5"/>
    <w:rsid w:val="00A8020F"/>
    <w:rsid w:val="00A965B7"/>
    <w:rsid w:val="00AA25CE"/>
    <w:rsid w:val="00AA3AE8"/>
    <w:rsid w:val="00AB7E21"/>
    <w:rsid w:val="00AC3F39"/>
    <w:rsid w:val="00AD39FA"/>
    <w:rsid w:val="00B01A48"/>
    <w:rsid w:val="00B07B39"/>
    <w:rsid w:val="00B270F6"/>
    <w:rsid w:val="00B27E33"/>
    <w:rsid w:val="00B35BE1"/>
    <w:rsid w:val="00B36BB6"/>
    <w:rsid w:val="00B66F46"/>
    <w:rsid w:val="00B765BB"/>
    <w:rsid w:val="00B95381"/>
    <w:rsid w:val="00BD7490"/>
    <w:rsid w:val="00BF0F3A"/>
    <w:rsid w:val="00C00DE4"/>
    <w:rsid w:val="00C13C66"/>
    <w:rsid w:val="00C43E00"/>
    <w:rsid w:val="00C71577"/>
    <w:rsid w:val="00C90FE8"/>
    <w:rsid w:val="00CA250E"/>
    <w:rsid w:val="00CF186C"/>
    <w:rsid w:val="00CF25A1"/>
    <w:rsid w:val="00CF6302"/>
    <w:rsid w:val="00D07A41"/>
    <w:rsid w:val="00D146DC"/>
    <w:rsid w:val="00D25A5E"/>
    <w:rsid w:val="00D26C08"/>
    <w:rsid w:val="00D323C5"/>
    <w:rsid w:val="00D40D6F"/>
    <w:rsid w:val="00D50818"/>
    <w:rsid w:val="00D52351"/>
    <w:rsid w:val="00D8309C"/>
    <w:rsid w:val="00D85A6F"/>
    <w:rsid w:val="00DA0A90"/>
    <w:rsid w:val="00DB3033"/>
    <w:rsid w:val="00DB50C0"/>
    <w:rsid w:val="00DC344A"/>
    <w:rsid w:val="00DC7BC2"/>
    <w:rsid w:val="00DE05DB"/>
    <w:rsid w:val="00DE47BB"/>
    <w:rsid w:val="00DE7261"/>
    <w:rsid w:val="00E0705E"/>
    <w:rsid w:val="00E10FDD"/>
    <w:rsid w:val="00E12F23"/>
    <w:rsid w:val="00E13022"/>
    <w:rsid w:val="00E15B16"/>
    <w:rsid w:val="00E224ED"/>
    <w:rsid w:val="00E42627"/>
    <w:rsid w:val="00E75751"/>
    <w:rsid w:val="00EC086B"/>
    <w:rsid w:val="00EE1F04"/>
    <w:rsid w:val="00EE5CB1"/>
    <w:rsid w:val="00EF0AE8"/>
    <w:rsid w:val="00F059BE"/>
    <w:rsid w:val="00F137BF"/>
    <w:rsid w:val="00F14C9B"/>
    <w:rsid w:val="00F1719D"/>
    <w:rsid w:val="00F208C0"/>
    <w:rsid w:val="00F259A8"/>
    <w:rsid w:val="00F47568"/>
    <w:rsid w:val="00F50141"/>
    <w:rsid w:val="00F525CE"/>
    <w:rsid w:val="00F52ACD"/>
    <w:rsid w:val="00F55B81"/>
    <w:rsid w:val="00F83066"/>
    <w:rsid w:val="00F8320D"/>
    <w:rsid w:val="00F90157"/>
    <w:rsid w:val="00F904AC"/>
    <w:rsid w:val="00F944FB"/>
    <w:rsid w:val="00FB2DDD"/>
    <w:rsid w:val="00FB40A0"/>
    <w:rsid w:val="00FC285B"/>
    <w:rsid w:val="00FE79F2"/>
    <w:rsid w:val="00FF7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e5185,#60adb8"/>
    </o:shapedefaults>
    <o:shapelayout v:ext="edit">
      <o:idmap v:ext="edit" data="2"/>
    </o:shapelayout>
  </w:shapeDefaults>
  <w:decimalSymbol w:val="."/>
  <w:listSeparator w:val=","/>
  <w14:docId w14:val="7F88AE35"/>
  <w15:docId w15:val="{03C2125C-A7A8-4C28-8515-061F6D72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835"/>
    <w:pPr>
      <w:spacing w:line="288" w:lineRule="auto"/>
    </w:pPr>
    <w:rPr>
      <w:rFonts w:ascii="Calibri Light" w:hAnsi="Calibri Light"/>
      <w:color w:val="000000"/>
      <w:sz w:val="24"/>
      <w:szCs w:val="24"/>
      <w:lang w:eastAsia="en-US"/>
    </w:rPr>
  </w:style>
  <w:style w:type="paragraph" w:styleId="Heading1">
    <w:name w:val="heading 1"/>
    <w:basedOn w:val="Normal"/>
    <w:next w:val="Normal"/>
    <w:qFormat/>
    <w:rsid w:val="000242ED"/>
    <w:pPr>
      <w:keepNext/>
      <w:spacing w:after="200" w:line="500" w:lineRule="exact"/>
      <w:outlineLvl w:val="0"/>
    </w:pPr>
    <w:rPr>
      <w:rFonts w:ascii="Calibri bold" w:hAnsi="Calibri bold" w:cs="Arial"/>
      <w:b/>
      <w:bCs/>
      <w:color w:val="007268"/>
      <w:kern w:val="32"/>
      <w:sz w:val="48"/>
      <w:szCs w:val="32"/>
    </w:rPr>
  </w:style>
  <w:style w:type="paragraph" w:styleId="Heading2">
    <w:name w:val="heading 2"/>
    <w:basedOn w:val="Normal"/>
    <w:next w:val="Normal"/>
    <w:qFormat/>
    <w:rsid w:val="000242ED"/>
    <w:pPr>
      <w:keepNext/>
      <w:spacing w:before="500" w:after="100" w:line="400" w:lineRule="exact"/>
      <w:outlineLvl w:val="1"/>
    </w:pPr>
    <w:rPr>
      <w:rFonts w:ascii="Calibri bold" w:hAnsi="Calibri bold" w:cs="Arial"/>
      <w:b/>
      <w:bCs/>
      <w:iCs/>
      <w:color w:val="007268"/>
      <w:kern w:val="32"/>
      <w:sz w:val="40"/>
      <w:szCs w:val="28"/>
    </w:rPr>
  </w:style>
  <w:style w:type="paragraph" w:styleId="Heading3">
    <w:name w:val="heading 3"/>
    <w:basedOn w:val="Normal"/>
    <w:next w:val="Normal"/>
    <w:qFormat/>
    <w:rsid w:val="000242ED"/>
    <w:pPr>
      <w:keepNext/>
      <w:spacing w:before="500" w:after="100"/>
      <w:outlineLvl w:val="2"/>
    </w:pPr>
    <w:rPr>
      <w:rFonts w:ascii="Calibri bold" w:hAnsi="Calibri bold" w:cs="Arial"/>
      <w:b/>
      <w:bCs/>
      <w:iCs/>
      <w:color w:val="auto"/>
      <w:sz w:val="32"/>
      <w:szCs w:val="26"/>
    </w:rPr>
  </w:style>
  <w:style w:type="paragraph" w:styleId="Heading4">
    <w:name w:val="heading 4"/>
    <w:basedOn w:val="Normal"/>
    <w:next w:val="Normal"/>
    <w:qFormat/>
    <w:rsid w:val="000242ED"/>
    <w:pPr>
      <w:keepNext/>
      <w:spacing w:before="500" w:after="100"/>
      <w:outlineLvl w:val="3"/>
    </w:pPr>
    <w:rPr>
      <w:rFonts w:ascii="Calibri bold" w:hAnsi="Calibri bold"/>
      <w:bCs/>
      <w:color w:val="006E63"/>
      <w:sz w:val="28"/>
      <w:szCs w:val="28"/>
    </w:rPr>
  </w:style>
  <w:style w:type="paragraph" w:styleId="Heading5">
    <w:name w:val="heading 5"/>
    <w:basedOn w:val="Normal"/>
    <w:next w:val="Normal"/>
    <w:qFormat/>
    <w:rsid w:val="000242ED"/>
    <w:pPr>
      <w:spacing w:before="500" w:after="100"/>
      <w:outlineLvl w:val="4"/>
    </w:pPr>
    <w:rPr>
      <w:rFonts w:ascii="Calibri bold" w:hAnsi="Calibri bold"/>
      <w:bCs/>
      <w:iCs/>
      <w:color w:val="auto"/>
      <w:szCs w:val="26"/>
    </w:rPr>
  </w:style>
  <w:style w:type="paragraph" w:styleId="Heading6">
    <w:name w:val="heading 6"/>
    <w:basedOn w:val="Normal"/>
    <w:next w:val="Normal"/>
    <w:link w:val="Heading6Char"/>
    <w:semiHidden/>
    <w:unhideWhenUsed/>
    <w:qFormat/>
    <w:rsid w:val="00805EC5"/>
    <w:pPr>
      <w:keepNext/>
      <w:keepLines/>
      <w:spacing w:before="500" w:after="1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05EC5"/>
    <w:pPr>
      <w:keepNext/>
      <w:keepLines/>
      <w:spacing w:before="500" w:after="1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05EC5"/>
    <w:pPr>
      <w:keepNext/>
      <w:keepLines/>
      <w:spacing w:before="500" w:after="1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05EC5"/>
    <w:pPr>
      <w:keepNext/>
      <w:keepLines/>
      <w:spacing w:before="500" w:after="1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EC5"/>
    <w:pPr>
      <w:tabs>
        <w:tab w:val="center" w:pos="4320"/>
        <w:tab w:val="right" w:pos="8640"/>
      </w:tabs>
    </w:pPr>
  </w:style>
  <w:style w:type="paragraph" w:styleId="Footer">
    <w:name w:val="footer"/>
    <w:basedOn w:val="Normal"/>
    <w:rsid w:val="00805EC5"/>
    <w:pPr>
      <w:tabs>
        <w:tab w:val="center" w:pos="4320"/>
        <w:tab w:val="right" w:pos="8640"/>
      </w:tabs>
      <w:spacing w:after="160"/>
    </w:pPr>
    <w:rPr>
      <w:sz w:val="18"/>
    </w:rPr>
  </w:style>
  <w:style w:type="paragraph" w:customStyle="1" w:styleId="MPTSNormalBold">
    <w:name w:val="MPTS Normal Bold"/>
    <w:basedOn w:val="Normal"/>
    <w:rsid w:val="00805EC5"/>
    <w:rPr>
      <w:b/>
    </w:rPr>
  </w:style>
  <w:style w:type="paragraph" w:styleId="Caption">
    <w:name w:val="caption"/>
    <w:basedOn w:val="Normal"/>
    <w:next w:val="Normal"/>
    <w:qFormat/>
    <w:rsid w:val="00805EC5"/>
    <w:rPr>
      <w:b/>
      <w:bCs/>
      <w:i/>
      <w:szCs w:val="20"/>
    </w:rPr>
  </w:style>
  <w:style w:type="paragraph" w:styleId="ListNumber">
    <w:name w:val="List Number"/>
    <w:basedOn w:val="Normal"/>
    <w:rsid w:val="00805EC5"/>
  </w:style>
  <w:style w:type="paragraph" w:styleId="ListBullet">
    <w:name w:val="List Bullet"/>
    <w:basedOn w:val="Normal"/>
    <w:uiPriority w:val="99"/>
    <w:rsid w:val="00805EC5"/>
    <w:pPr>
      <w:numPr>
        <w:numId w:val="36"/>
      </w:numPr>
    </w:pPr>
  </w:style>
  <w:style w:type="paragraph" w:customStyle="1" w:styleId="MPTSNormalItalic">
    <w:name w:val="MPTS Normal Italic"/>
    <w:basedOn w:val="Normal"/>
    <w:rsid w:val="00805EC5"/>
    <w:rPr>
      <w:bCs/>
      <w:i/>
    </w:rPr>
  </w:style>
  <w:style w:type="character" w:styleId="PageNumber">
    <w:name w:val="page number"/>
    <w:basedOn w:val="DefaultParagraphFont"/>
    <w:rsid w:val="00805EC5"/>
    <w:rPr>
      <w:sz w:val="18"/>
    </w:rPr>
  </w:style>
  <w:style w:type="paragraph" w:styleId="ListNumber2">
    <w:name w:val="List Number 2"/>
    <w:basedOn w:val="Normal"/>
    <w:rsid w:val="00805EC5"/>
    <w:pPr>
      <w:numPr>
        <w:ilvl w:val="1"/>
        <w:numId w:val="38"/>
      </w:numPr>
      <w:tabs>
        <w:tab w:val="left" w:pos="1361"/>
      </w:tabs>
    </w:pPr>
  </w:style>
  <w:style w:type="paragraph" w:styleId="ListNumber3">
    <w:name w:val="List Number 3"/>
    <w:basedOn w:val="Normal"/>
    <w:rsid w:val="00805EC5"/>
    <w:pPr>
      <w:numPr>
        <w:ilvl w:val="2"/>
        <w:numId w:val="38"/>
      </w:numPr>
    </w:pPr>
  </w:style>
  <w:style w:type="paragraph" w:customStyle="1" w:styleId="MPTSNormalRight">
    <w:name w:val="MPTS Normal Right"/>
    <w:basedOn w:val="Normal"/>
    <w:rsid w:val="00805EC5"/>
    <w:pPr>
      <w:jc w:val="right"/>
    </w:pPr>
  </w:style>
  <w:style w:type="paragraph" w:customStyle="1" w:styleId="MPTSNumberheadingstyle">
    <w:name w:val="MPTS Number heading style"/>
    <w:basedOn w:val="Normal"/>
    <w:next w:val="Normal"/>
    <w:rsid w:val="00805EC5"/>
    <w:pPr>
      <w:jc w:val="right"/>
    </w:pPr>
    <w:rPr>
      <w:b/>
      <w:bCs/>
      <w:sz w:val="44"/>
    </w:rPr>
  </w:style>
  <w:style w:type="paragraph" w:customStyle="1" w:styleId="MPTSNumbertext">
    <w:name w:val="MPTS Number text"/>
    <w:basedOn w:val="Normal"/>
    <w:rsid w:val="00805EC5"/>
    <w:pPr>
      <w:numPr>
        <w:numId w:val="40"/>
      </w:numPr>
    </w:pPr>
  </w:style>
  <w:style w:type="paragraph" w:customStyle="1" w:styleId="MPTSA-Ztext">
    <w:name w:val="MPTS A-Z text"/>
    <w:basedOn w:val="Normal"/>
    <w:rsid w:val="00805EC5"/>
    <w:pPr>
      <w:numPr>
        <w:numId w:val="39"/>
      </w:numPr>
    </w:pPr>
  </w:style>
  <w:style w:type="paragraph" w:customStyle="1" w:styleId="MPTSRomantext">
    <w:name w:val="MPTS Roman text"/>
    <w:basedOn w:val="Normal"/>
    <w:rsid w:val="00805EC5"/>
    <w:pPr>
      <w:numPr>
        <w:numId w:val="41"/>
      </w:numPr>
    </w:pPr>
  </w:style>
  <w:style w:type="paragraph" w:customStyle="1" w:styleId="MPTSNormalindented">
    <w:name w:val="MPTS Normal indented"/>
    <w:basedOn w:val="MPTSNumbertext"/>
    <w:rsid w:val="00805EC5"/>
    <w:pPr>
      <w:numPr>
        <w:numId w:val="0"/>
      </w:numPr>
      <w:ind w:left="709"/>
    </w:pPr>
  </w:style>
  <w:style w:type="paragraph" w:styleId="ListBullet2">
    <w:name w:val="List Bullet 2"/>
    <w:basedOn w:val="Normal"/>
    <w:rsid w:val="00805EC5"/>
    <w:pPr>
      <w:numPr>
        <w:ilvl w:val="1"/>
        <w:numId w:val="36"/>
      </w:numPr>
    </w:pPr>
  </w:style>
  <w:style w:type="paragraph" w:styleId="ListBullet3">
    <w:name w:val="List Bullet 3"/>
    <w:basedOn w:val="Normal"/>
    <w:rsid w:val="00805EC5"/>
    <w:pPr>
      <w:numPr>
        <w:ilvl w:val="2"/>
        <w:numId w:val="36"/>
      </w:numPr>
    </w:pPr>
  </w:style>
  <w:style w:type="paragraph" w:styleId="ListBullet4">
    <w:name w:val="List Bullet 4"/>
    <w:basedOn w:val="Normal"/>
    <w:rsid w:val="00805EC5"/>
    <w:pPr>
      <w:numPr>
        <w:ilvl w:val="3"/>
        <w:numId w:val="36"/>
      </w:numPr>
    </w:pPr>
  </w:style>
  <w:style w:type="paragraph" w:styleId="ListBullet5">
    <w:name w:val="List Bullet 5"/>
    <w:basedOn w:val="Normal"/>
    <w:uiPriority w:val="99"/>
    <w:rsid w:val="00805EC5"/>
    <w:pPr>
      <w:numPr>
        <w:ilvl w:val="4"/>
        <w:numId w:val="36"/>
      </w:numPr>
    </w:pPr>
  </w:style>
  <w:style w:type="paragraph" w:customStyle="1" w:styleId="GMCNormalItalic">
    <w:name w:val="GMC Normal Italic"/>
    <w:basedOn w:val="Normal"/>
    <w:rsid w:val="00805EC5"/>
    <w:rPr>
      <w:bCs/>
      <w:i/>
    </w:rPr>
  </w:style>
  <w:style w:type="paragraph" w:customStyle="1" w:styleId="GMCNumberheadingstyle">
    <w:name w:val="GMC Number heading style"/>
    <w:basedOn w:val="Normal"/>
    <w:next w:val="Normal"/>
    <w:rsid w:val="00805EC5"/>
    <w:pPr>
      <w:jc w:val="right"/>
    </w:pPr>
    <w:rPr>
      <w:b/>
      <w:bCs/>
      <w:sz w:val="44"/>
    </w:rPr>
  </w:style>
  <w:style w:type="paragraph" w:customStyle="1" w:styleId="GMCNumbertext">
    <w:name w:val="GMC Number text"/>
    <w:basedOn w:val="Normal"/>
    <w:rsid w:val="00805EC5"/>
    <w:pPr>
      <w:tabs>
        <w:tab w:val="num" w:pos="510"/>
      </w:tabs>
      <w:ind w:left="510" w:hanging="510"/>
    </w:pPr>
  </w:style>
  <w:style w:type="paragraph" w:customStyle="1" w:styleId="GMCA-Ztext">
    <w:name w:val="GMC A-Z text"/>
    <w:basedOn w:val="Normal"/>
    <w:rsid w:val="00805EC5"/>
    <w:pPr>
      <w:numPr>
        <w:numId w:val="31"/>
      </w:numPr>
    </w:pPr>
  </w:style>
  <w:style w:type="paragraph" w:styleId="BalloonText">
    <w:name w:val="Balloon Text"/>
    <w:basedOn w:val="Normal"/>
    <w:link w:val="BalloonTextChar"/>
    <w:rsid w:val="00805EC5"/>
    <w:rPr>
      <w:rFonts w:cs="Tahoma"/>
      <w:sz w:val="16"/>
      <w:szCs w:val="16"/>
    </w:rPr>
  </w:style>
  <w:style w:type="character" w:customStyle="1" w:styleId="BalloonTextChar">
    <w:name w:val="Balloon Text Char"/>
    <w:basedOn w:val="DefaultParagraphFont"/>
    <w:link w:val="BalloonText"/>
    <w:rsid w:val="00805EC5"/>
    <w:rPr>
      <w:rFonts w:ascii="Tahoma" w:hAnsi="Tahoma" w:cs="Tahoma"/>
      <w:color w:val="000000"/>
      <w:sz w:val="16"/>
      <w:szCs w:val="16"/>
      <w:lang w:eastAsia="en-US"/>
    </w:rPr>
  </w:style>
  <w:style w:type="paragraph" w:customStyle="1" w:styleId="GMCNormalBold">
    <w:name w:val="GMC Normal Bold"/>
    <w:basedOn w:val="Normal"/>
    <w:rsid w:val="00805EC5"/>
    <w:rPr>
      <w:b/>
    </w:rPr>
  </w:style>
  <w:style w:type="character" w:styleId="Hyperlink">
    <w:name w:val="Hyperlink"/>
    <w:basedOn w:val="DefaultParagraphFont"/>
    <w:uiPriority w:val="99"/>
    <w:rsid w:val="00805EC5"/>
    <w:rPr>
      <w:color w:val="0000FF"/>
      <w:u w:val="single"/>
    </w:rPr>
  </w:style>
  <w:style w:type="character" w:styleId="FollowedHyperlink">
    <w:name w:val="FollowedHyperlink"/>
    <w:basedOn w:val="DefaultParagraphFont"/>
    <w:rsid w:val="00805EC5"/>
    <w:rPr>
      <w:color w:val="800080" w:themeColor="followedHyperlink"/>
      <w:u w:val="single"/>
    </w:rPr>
  </w:style>
  <w:style w:type="paragraph" w:styleId="FootnoteText">
    <w:name w:val="footnote text"/>
    <w:basedOn w:val="Normal"/>
    <w:link w:val="FootnoteTextChar"/>
    <w:rsid w:val="00805EC5"/>
    <w:rPr>
      <w:sz w:val="20"/>
      <w:szCs w:val="20"/>
    </w:rPr>
  </w:style>
  <w:style w:type="character" w:customStyle="1" w:styleId="FootnoteTextChar">
    <w:name w:val="Footnote Text Char"/>
    <w:basedOn w:val="DefaultParagraphFont"/>
    <w:link w:val="FootnoteText"/>
    <w:rsid w:val="00805EC5"/>
    <w:rPr>
      <w:rFonts w:ascii="Tahoma" w:hAnsi="Tahoma"/>
      <w:color w:val="000000"/>
      <w:lang w:eastAsia="en-US"/>
    </w:rPr>
  </w:style>
  <w:style w:type="character" w:styleId="FootnoteReference">
    <w:name w:val="footnote reference"/>
    <w:basedOn w:val="DefaultParagraphFont"/>
    <w:rsid w:val="00805EC5"/>
    <w:rPr>
      <w:vertAlign w:val="superscript"/>
    </w:rPr>
  </w:style>
  <w:style w:type="paragraph" w:styleId="EndnoteText">
    <w:name w:val="endnote text"/>
    <w:basedOn w:val="Normal"/>
    <w:link w:val="EndnoteTextChar"/>
    <w:rsid w:val="00805EC5"/>
    <w:rPr>
      <w:sz w:val="20"/>
      <w:szCs w:val="20"/>
    </w:rPr>
  </w:style>
  <w:style w:type="character" w:customStyle="1" w:styleId="EndnoteTextChar">
    <w:name w:val="Endnote Text Char"/>
    <w:basedOn w:val="DefaultParagraphFont"/>
    <w:link w:val="EndnoteText"/>
    <w:rsid w:val="00805EC5"/>
    <w:rPr>
      <w:rFonts w:ascii="Tahoma" w:hAnsi="Tahoma"/>
      <w:color w:val="000000"/>
      <w:lang w:eastAsia="en-US"/>
    </w:rPr>
  </w:style>
  <w:style w:type="character" w:styleId="EndnoteReference">
    <w:name w:val="endnote reference"/>
    <w:basedOn w:val="DefaultParagraphFont"/>
    <w:rsid w:val="00805EC5"/>
    <w:rPr>
      <w:vertAlign w:val="superscript"/>
    </w:rPr>
  </w:style>
  <w:style w:type="character" w:customStyle="1" w:styleId="Heading6Char">
    <w:name w:val="Heading 6 Char"/>
    <w:basedOn w:val="DefaultParagraphFont"/>
    <w:link w:val="Heading6"/>
    <w:semiHidden/>
    <w:rsid w:val="00805EC5"/>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semiHidden/>
    <w:rsid w:val="00805EC5"/>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semiHidden/>
    <w:rsid w:val="00805EC5"/>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805EC5"/>
    <w:rPr>
      <w:rFonts w:asciiTheme="majorHAnsi" w:eastAsiaTheme="majorEastAsia" w:hAnsiTheme="majorHAnsi" w:cstheme="majorBidi"/>
      <w:i/>
      <w:iCs/>
      <w:color w:val="404040" w:themeColor="text1" w:themeTint="BF"/>
      <w:lang w:eastAsia="en-US"/>
    </w:rPr>
  </w:style>
  <w:style w:type="character" w:customStyle="1" w:styleId="MPTSNewBulletChar">
    <w:name w:val="MPTS New Bullet Char"/>
    <w:basedOn w:val="DefaultParagraphFont"/>
    <w:link w:val="MPTSNewBullet"/>
    <w:locked/>
    <w:rsid w:val="007F6A2A"/>
    <w:rPr>
      <w:rFonts w:ascii="Calibri Light" w:hAnsi="Calibri Light"/>
      <w:color w:val="000000"/>
      <w:sz w:val="24"/>
      <w:szCs w:val="24"/>
    </w:rPr>
  </w:style>
  <w:style w:type="paragraph" w:customStyle="1" w:styleId="MPTSNewBullet">
    <w:name w:val="MPTS New Bullet"/>
    <w:basedOn w:val="ListBullet"/>
    <w:link w:val="MPTSNewBulletChar"/>
    <w:qFormat/>
    <w:rsid w:val="007F6A2A"/>
    <w:pPr>
      <w:numPr>
        <w:numId w:val="0"/>
      </w:numPr>
    </w:pPr>
    <w:rPr>
      <w:lang w:eastAsia="en-GB"/>
    </w:rPr>
  </w:style>
  <w:style w:type="paragraph" w:customStyle="1" w:styleId="Default">
    <w:name w:val="Default"/>
    <w:rsid w:val="001A395D"/>
    <w:pPr>
      <w:autoSpaceDE w:val="0"/>
      <w:autoSpaceDN w:val="0"/>
      <w:adjustRightInd w:val="0"/>
    </w:pPr>
    <w:rPr>
      <w:rFonts w:ascii="Calibri Light" w:hAnsi="Calibri Light" w:cs="Calibri Light"/>
      <w:color w:val="000000"/>
      <w:sz w:val="24"/>
      <w:szCs w:val="24"/>
    </w:rPr>
  </w:style>
  <w:style w:type="paragraph" w:styleId="ListParagraph">
    <w:name w:val="List Paragraph"/>
    <w:aliases w:val="z Do Not Use 17"/>
    <w:basedOn w:val="Normal"/>
    <w:uiPriority w:val="34"/>
    <w:qFormat/>
    <w:rsid w:val="00F90157"/>
    <w:pPr>
      <w:ind w:left="720"/>
      <w:contextualSpacing/>
    </w:pPr>
  </w:style>
  <w:style w:type="character" w:styleId="UnresolvedMention">
    <w:name w:val="Unresolved Mention"/>
    <w:basedOn w:val="DefaultParagraphFont"/>
    <w:uiPriority w:val="99"/>
    <w:semiHidden/>
    <w:unhideWhenUsed/>
    <w:rsid w:val="00974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4211">
      <w:bodyDiv w:val="1"/>
      <w:marLeft w:val="0"/>
      <w:marRight w:val="0"/>
      <w:marTop w:val="0"/>
      <w:marBottom w:val="0"/>
      <w:divBdr>
        <w:top w:val="none" w:sz="0" w:space="0" w:color="auto"/>
        <w:left w:val="none" w:sz="0" w:space="0" w:color="auto"/>
        <w:bottom w:val="none" w:sz="0" w:space="0" w:color="auto"/>
        <w:right w:val="none" w:sz="0" w:space="0" w:color="auto"/>
      </w:divBdr>
    </w:div>
    <w:div w:id="924001025">
      <w:bodyDiv w:val="1"/>
      <w:marLeft w:val="0"/>
      <w:marRight w:val="0"/>
      <w:marTop w:val="0"/>
      <w:marBottom w:val="0"/>
      <w:divBdr>
        <w:top w:val="none" w:sz="0" w:space="0" w:color="auto"/>
        <w:left w:val="none" w:sz="0" w:space="0" w:color="auto"/>
        <w:bottom w:val="none" w:sz="0" w:space="0" w:color="auto"/>
        <w:right w:val="none" w:sz="0" w:space="0" w:color="auto"/>
      </w:divBdr>
    </w:div>
    <w:div w:id="188455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bailii.org/ew/cases/EWHC/Admin/2024/3335.html" TargetMode="External"/><Relationship Id="rId13" Type="http://schemas.openxmlformats.org/officeDocument/2006/relationships/hyperlink" Target="https://caselaw.nationalarchives.gov.uk/ewhc/admin/2025/87?query=%5B2025%5D+EWHC+87+%28Admin%29." TargetMode="External"/><Relationship Id="rId18" Type="http://schemas.openxmlformats.org/officeDocument/2006/relationships/hyperlink" Target="https://caselaw.nationalarchives.gov.uk/ewca/civ/2025/27"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aselaw.nationalarchives.gov.uk/ewhc/admin/2025/247" TargetMode="External"/><Relationship Id="rId17" Type="http://schemas.openxmlformats.org/officeDocument/2006/relationships/hyperlink" Target="https://caselaw.nationalarchives.gov.uk/ewhc/admin/2025/9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selaw.nationalarchives.gov.uk/ewhc/admin/2025/24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lii.org/ew/cases/EWHC/Admin/2024/2825.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selaw.nationalarchives.gov.uk/ewhc/admin/2025/123" TargetMode="External"/><Relationship Id="rId23" Type="http://schemas.openxmlformats.org/officeDocument/2006/relationships/footer" Target="footer3.xml"/><Relationship Id="rId10" Type="http://schemas.openxmlformats.org/officeDocument/2006/relationships/hyperlink" Target="https://www.bailii.org/ew/cases/EWHC/Admin/2024/2975.html" TargetMode="External"/><Relationship Id="rId19" Type="http://schemas.openxmlformats.org/officeDocument/2006/relationships/hyperlink" Target="https://caselaw.nationalarchives.gov.uk/ewhc/admin/2025/164" TargetMode="External"/><Relationship Id="rId4" Type="http://schemas.openxmlformats.org/officeDocument/2006/relationships/settings" Target="settings.xml"/><Relationship Id="rId9" Type="http://schemas.openxmlformats.org/officeDocument/2006/relationships/hyperlink" Target="https://www.bailii.org/ew/cases/EWHC/Admin/2024/3335.html" TargetMode="External"/><Relationship Id="rId14" Type="http://schemas.openxmlformats.org/officeDocument/2006/relationships/hyperlink" Target="https://caselaw.nationalarchives.gov.uk/ewhc/admin/2025/31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8636-5ABA-44AC-9210-7C837217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2025 Appeals circulars</vt:lpstr>
    </vt:vector>
  </TitlesOfParts>
  <Company>GMC</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Appeals circulars</dc:title>
  <dc:creator>Oliver Rogers (0161 923 6250)</dc:creator>
  <dc:description>Developed by Operandi Limited.</dc:description>
  <cp:lastModifiedBy>Emma Bentham</cp:lastModifiedBy>
  <cp:revision>12</cp:revision>
  <cp:lastPrinted>2014-06-11T13:55:00Z</cp:lastPrinted>
  <dcterms:created xsi:type="dcterms:W3CDTF">2025-01-13T09:56:00Z</dcterms:created>
  <dcterms:modified xsi:type="dcterms:W3CDTF">2025-10-20T11:05:00Z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37e91e4e55ae07ba8cdd1c246024a89de8abc89750f0c39af0dc536c7ffdcfd5</vt:lpwstr>
  </property>
</Properties>
</file>